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12"/>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12"/>
        <w:ind w:firstLine="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u w:val="single"/>
        </w:rPr>
        <w:t xml:space="preserve">海安市“智慧安防校园”建设项目</w:t>
      </w:r>
      <w:r>
        <w:rPr>
          <w:rFonts w:hint="eastAsia" w:ascii="Arial" w:hAnsi="Arial"/>
          <w:b/>
          <w:bCs/>
          <w:color w:val="000000"/>
          <w:sz w:val="32"/>
          <w:szCs w:val="24"/>
        </w:rPr>
      </w:r>
      <w:r/>
    </w:p>
    <w:p>
      <w:pPr>
        <w:pStyle w:val="712"/>
        <w:ind w:firstLine="1606"/>
        <w:spacing w:before="120" w:after="120" w:line="360" w:lineRule="auto"/>
        <w:rPr>
          <w:rFonts w:hint="eastAsia" w:ascii="Arial" w:hAnsi="Arial"/>
          <w:b/>
          <w:bCs/>
          <w:color w:val="000000"/>
          <w:sz w:val="32"/>
          <w:szCs w:val="24"/>
        </w:rPr>
      </w:pPr>
      <w:r>
        <w:rPr>
          <w:rFonts w:hint="eastAsia" w:ascii="Arial" w:hAnsi="Arial"/>
          <w:b/>
          <w:bCs/>
          <w:sz w:val="32"/>
          <w:szCs w:val="24"/>
        </w:rPr>
        <w:t xml:space="preserve">项目编号：</w:t>
      </w:r>
      <w:r>
        <w:rPr>
          <w:rFonts w:hint="eastAsia" w:ascii="Arial" w:hAnsi="Arial" w:eastAsia="宋体" w:cs="Times New Roman"/>
          <w:b/>
          <w:bCs/>
          <w:sz w:val="32"/>
          <w:szCs w:val="24"/>
          <w:u w:val="single"/>
        </w:rPr>
        <w:t xml:space="preserve">JSZC-320685-JZCG-G2025-0067</w:t>
      </w:r>
      <w:r>
        <w:rPr>
          <w:rFonts w:hint="eastAsia" w:ascii="Arial" w:hAnsi="Arial"/>
          <w:b/>
          <w:bCs/>
          <w:color w:val="000000"/>
          <w:sz w:val="32"/>
          <w:szCs w:val="24"/>
        </w:rPr>
      </w:r>
      <w:r/>
    </w:p>
    <w:p>
      <w:pPr>
        <w:pStyle w:val="712"/>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rPr>
          <w:rFonts w:hint="eastAsia" w:ascii="Times New Roman" w:hAnsi="Times New Roman"/>
          <w:b/>
          <w:color w:val="ff0000"/>
          <w:sz w:val="30"/>
          <w:szCs w:val="30"/>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海安市公共资源交易中心</w:t>
      </w:r>
      <w:r>
        <w:rPr>
          <w:rFonts w:hint="eastAsia" w:ascii="Arial" w:hAnsi="Arial"/>
          <w:b/>
          <w:bCs/>
          <w:color w:val="000000"/>
          <w:sz w:val="32"/>
          <w:szCs w:val="24"/>
        </w:rPr>
      </w:r>
      <w:r/>
    </w:p>
    <w:p>
      <w:pPr>
        <w:pStyle w:val="712"/>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7</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12"/>
        <w:jc w:val="left"/>
        <w:spacing w:before="120" w:after="120" w:line="360" w:lineRule="auto"/>
        <w:rPr>
          <w:rFonts w:ascii="黑体" w:hAnsi="Arial" w:eastAsia="黑体"/>
          <w:b/>
          <w:color w:val="000000"/>
          <w:sz w:val="44"/>
          <w:szCs w:val="21"/>
        </w:rPr>
      </w:pPr>
      <w:r>
        <w:rPr>
          <w:rFonts w:hint="eastAsia" w:ascii="Arial" w:hAnsi="Arial"/>
          <w:color w:val="000000"/>
          <w:sz w:val="24"/>
          <w:szCs w:val="24"/>
        </w:rPr>
        <w:t xml:space="preserve">                   </w:t>
      </w:r>
      <w:bookmarkStart w:id="0" w:name="_Toc120614210"/>
      <w:r/>
      <w:bookmarkStart w:id="1" w:name="_Toc16938516"/>
      <w:r/>
      <w:bookmarkStart w:id="2" w:name="_Toc523127445"/>
      <w:r/>
      <w:bookmarkStart w:id="3" w:name="_Toc513029200"/>
      <w:r/>
      <w:bookmarkStart w:id="4" w:name="_Toc20823272"/>
      <w:r/>
      <w:bookmarkStart w:id="5" w:name="_Toc479757206"/>
      <w:r>
        <w:rPr>
          <w:rFonts w:ascii="黑体" w:hAnsi="Arial" w:eastAsia="黑体"/>
          <w:b/>
          <w:color w:val="000000"/>
          <w:sz w:val="44"/>
          <w:szCs w:val="21"/>
        </w:rPr>
      </w:r>
      <w:r/>
    </w:p>
    <w:p>
      <w:pPr>
        <w:pStyle w:val="712"/>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12"/>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12"/>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1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1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1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12"/>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jc w:val="center"/>
        <w:keepNext/>
        <w:spacing w:line="560" w:lineRule="exac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12"/>
        <w:ind w:firstLine="480"/>
        <w:spacing w:line="5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lang w:val="en-US" w:eastAsia="zh-CN"/>
        </w:rPr>
        <w:t xml:space="preserve">海安市教育体育局</w:t>
      </w:r>
      <w:r>
        <w:rPr>
          <w:rFonts w:hint="eastAsia" w:ascii="宋体" w:hAnsi="宋体"/>
          <w:color w:val="000000"/>
          <w:sz w:val="24"/>
          <w:szCs w:val="24"/>
        </w:rPr>
        <w:t xml:space="preserve">的委托，海安市公共资源中心就</w:t>
      </w:r>
      <w:r>
        <w:rPr>
          <w:rFonts w:hint="eastAsia" w:ascii="宋体" w:hAnsi="宋体" w:eastAsia="宋体" w:cs="Times New Roman"/>
          <w:color w:val="000000"/>
          <w:sz w:val="24"/>
          <w:szCs w:val="24"/>
        </w:rPr>
        <w:t xml:space="preserve">海安市“智慧安防校园”建设项</w:t>
      </w:r>
      <w:r>
        <w:rPr>
          <w:rFonts w:hint="eastAsia" w:ascii="宋体" w:hAnsi="宋体" w:eastAsia="宋体" w:cs="Times New Roman"/>
          <w:color w:val="000000"/>
          <w:sz w:val="24"/>
          <w:szCs w:val="24"/>
          <w:highlight w:val="none"/>
        </w:rPr>
        <w:t xml:space="preserve">目</w:t>
      </w:r>
      <w:r>
        <w:rPr>
          <w:rFonts w:hint="eastAsia" w:ascii="宋体" w:hAnsi="宋体"/>
          <w:color w:val="000000"/>
          <w:sz w:val="24"/>
          <w:szCs w:val="24"/>
          <w:highlight w:val="none"/>
        </w:rPr>
        <w:t xml:space="preserve">(项目编号：</w:t>
      </w:r>
      <w:r>
        <w:rPr>
          <w:rFonts w:ascii="Segoe UI" w:hAnsi="Segoe UI" w:eastAsia="Segoe UI" w:cs="Segoe UI"/>
          <w:i w:val="0"/>
          <w:iCs w:val="0"/>
          <w:caps w:val="0"/>
          <w:spacing w:val="0"/>
          <w:sz w:val="21"/>
          <w:szCs w:val="21"/>
          <w:highlight w:val="none"/>
          <w:shd w:val="clear" w:color="auto" w:fill="ffffff"/>
        </w:rPr>
        <w:t xml:space="preserve">JSZC-320685-JZCG-G2025-0067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12"/>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12"/>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eastAsia="宋体" w:cs="Times New Roman"/>
          <w:color w:val="000000"/>
          <w:sz w:val="24"/>
          <w:szCs w:val="24"/>
          <w:u w:val="single"/>
        </w:rPr>
        <w:t xml:space="preserve">海安市“智慧安防校园”建设项目</w:t>
      </w:r>
      <w:r>
        <w:rPr>
          <w:rFonts w:hint="eastAsia" w:ascii="宋体" w:hAnsi="宋体" w:eastAsia="宋体" w:cs="Times New Roman"/>
          <w:color w:val="000000"/>
          <w:sz w:val="24"/>
          <w:szCs w:val="24"/>
          <w:u w:val="none"/>
        </w:rPr>
        <w:t xml:space="preserve">的潜在投标</w:t>
      </w:r>
      <w:r>
        <w:rPr>
          <w:rFonts w:hint="eastAsia" w:ascii="宋体" w:hAnsi="宋体"/>
          <w:color w:val="000000"/>
          <w:sz w:val="24"/>
          <w:szCs w:val="24"/>
        </w:rPr>
        <w:t xml:space="preserve">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8</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12"/>
        <w:ind w:firstLine="482"/>
        <w:keepLines/>
        <w:keepNext/>
        <w:pageBreakBefore w:val="0"/>
        <w:spacing w:line="560" w:lineRule="exact"/>
        <w:widowControl w:val="off"/>
        <w:rPr>
          <w:rFonts w:ascii="Times New Roman" w:hAnsi="Times New Roman" w:eastAsia="宋体" w:cs="Times New Roman"/>
          <w:b/>
          <w:bCs/>
          <w:color w:val="000000"/>
          <w:sz w:val="32"/>
          <w:szCs w:val="32"/>
          <w:lang w:val="en-US" w:eastAsia="zh-CN"/>
        </w:rPr>
        <w:outlineLvl w:val="2"/>
      </w:pPr>
      <w:r/>
      <w:bookmarkStart w:id="6" w:name="_Hlk24379207"/>
      <w:r>
        <w:rPr>
          <w:rFonts w:hint="eastAsia" w:ascii="Times New Roman" w:hAnsi="Times New Roman" w:eastAsia="宋体" w:cs="Times New Roman"/>
          <w:b/>
          <w:bCs/>
          <w:color w:val="000000"/>
          <w:sz w:val="32"/>
          <w:szCs w:val="32"/>
          <w:lang w:val="en-US" w:eastAsia="zh-CN"/>
        </w:rPr>
        <w:t xml:space="preserve">一、项目基本情况</w:t>
      </w:r>
      <w:r>
        <w:rPr>
          <w:rFonts w:ascii="Times New Roman" w:hAnsi="Times New Roman" w:eastAsia="宋体" w:cs="Times New Roman"/>
          <w:b/>
          <w:bCs/>
          <w:color w:val="000000"/>
          <w:sz w:val="32"/>
          <w:szCs w:val="32"/>
          <w:lang w:val="en-US" w:eastAsia="zh-CN"/>
        </w:rPr>
      </w:r>
      <w:r/>
    </w:p>
    <w:p>
      <w:pPr>
        <w:pStyle w:val="712"/>
        <w:ind w:firstLine="480"/>
        <w:spacing w:line="560" w:lineRule="exact"/>
        <w:rPr>
          <w:rFonts w:ascii="Segoe UI" w:hAnsi="Segoe UI" w:eastAsia="Segoe UI" w:cs="Segoe UI"/>
          <w:i w:val="0"/>
          <w:iCs w:val="0"/>
          <w:caps w:val="0"/>
          <w:spacing w:val="0"/>
          <w:sz w:val="21"/>
          <w:szCs w:val="21"/>
          <w:shd w:val="clear" w:color="auto" w:fill="ffffff"/>
        </w:rPr>
      </w:pPr>
      <w:r>
        <w:rPr>
          <w:rFonts w:hint="eastAsia" w:ascii="宋体" w:hAnsi="宋体"/>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JSZC-320685-JZCG-G2025-0067</w:t>
      </w:r>
      <w:r>
        <w:rPr>
          <w:rFonts w:ascii="Segoe UI" w:hAnsi="Segoe UI" w:eastAsia="Segoe UI" w:cs="Segoe UI"/>
          <w:i w:val="0"/>
          <w:iCs w:val="0"/>
          <w:caps w:val="0"/>
          <w:spacing w:val="0"/>
          <w:sz w:val="21"/>
          <w:szCs w:val="21"/>
          <w:shd w:val="clear" w:color="auto" w:fill="ffffff"/>
        </w:rPr>
      </w:r>
      <w:r/>
    </w:p>
    <w:p>
      <w:pPr>
        <w:pStyle w:val="712"/>
        <w:ind w:firstLine="480"/>
        <w:spacing w:line="560" w:lineRule="exact"/>
        <w:rPr>
          <w:rFonts w:hint="eastAsia" w:ascii="宋体" w:hAnsi="宋体" w:eastAsia="宋体" w:cs="Times New Roman"/>
          <w:color w:val="000000"/>
          <w:sz w:val="24"/>
          <w:szCs w:val="24"/>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海安市“智慧安防校园”建设项目</w:t>
      </w:r>
      <w:r>
        <w:rPr>
          <w:rFonts w:hint="eastAsia" w:ascii="宋体" w:hAnsi="宋体" w:eastAsia="宋体" w:cs="Times New Roman"/>
          <w:color w:val="000000"/>
          <w:sz w:val="24"/>
          <w:szCs w:val="24"/>
        </w:rPr>
      </w:r>
      <w:r/>
    </w:p>
    <w:p>
      <w:pPr>
        <w:pStyle w:val="712"/>
        <w:ind w:firstLine="480"/>
        <w:spacing w:line="560" w:lineRule="exact"/>
        <w:rPr>
          <w:rFonts w:hint="eastAsia" w:ascii="宋体" w:hAnsi="宋体" w:eastAsia="宋体"/>
          <w:sz w:val="24"/>
          <w:szCs w:val="24"/>
          <w:lang w:val="en-US" w:eastAsia="zh-CN"/>
        </w:rPr>
      </w:pPr>
      <w:r/>
      <w:bookmarkEnd w:id="6"/>
      <w:r>
        <w:rPr>
          <w:rFonts w:hint="eastAsia" w:ascii="宋体" w:hAnsi="宋体"/>
          <w:sz w:val="24"/>
          <w:szCs w:val="24"/>
        </w:rPr>
        <w:t xml:space="preserve">3.项目类型：</w:t>
      </w:r>
      <w:r>
        <w:rPr>
          <w:rFonts w:hint="eastAsia" w:ascii="宋体" w:hAnsi="宋体"/>
          <w:sz w:val="24"/>
          <w:szCs w:val="24"/>
          <w:lang w:val="en-US" w:eastAsia="zh-CN"/>
        </w:rPr>
        <w:t xml:space="preserve">货物</w:t>
      </w:r>
      <w:r>
        <w:rPr>
          <w:rFonts w:hint="eastAsia" w:ascii="宋体" w:hAnsi="宋体" w:eastAsia="宋体"/>
          <w:sz w:val="24"/>
          <w:szCs w:val="24"/>
          <w:lang w:val="en-US" w:eastAsia="zh-CN"/>
        </w:rPr>
      </w:r>
      <w:r/>
    </w:p>
    <w:p>
      <w:pPr>
        <w:pStyle w:val="712"/>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p>
      <w:pPr>
        <w:pStyle w:val="712"/>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800</w:t>
      </w:r>
      <w:r>
        <w:rPr>
          <w:rFonts w:hint="eastAsia" w:ascii="宋体" w:hAnsi="宋体"/>
          <w:sz w:val="24"/>
          <w:szCs w:val="24"/>
        </w:rPr>
        <w:t xml:space="preserve">万元</w:t>
      </w:r>
      <w:r>
        <w:rPr>
          <w:rFonts w:ascii="宋体" w:hAnsi="宋体"/>
          <w:sz w:val="24"/>
          <w:szCs w:val="24"/>
        </w:rPr>
      </w:r>
      <w:r/>
    </w:p>
    <w:p>
      <w:pPr>
        <w:pStyle w:val="712"/>
        <w:ind w:firstLine="480"/>
        <w:spacing w:line="560" w:lineRule="exact"/>
        <w:rPr>
          <w:rFonts w:hint="eastAsia"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800</w:t>
      </w:r>
      <w:r>
        <w:rPr>
          <w:rFonts w:hint="eastAsia" w:ascii="宋体" w:hAnsi="宋体"/>
          <w:sz w:val="24"/>
          <w:szCs w:val="24"/>
        </w:rPr>
        <w:t xml:space="preserve">万元，投标报价超过最高限价的投标将作为无效投标处理。</w:t>
      </w:r>
      <w:r>
        <w:rPr>
          <w:rFonts w:hint="eastAsia" w:ascii="宋体" w:hAnsi="宋体"/>
          <w:sz w:val="24"/>
          <w:szCs w:val="24"/>
        </w:rPr>
      </w:r>
      <w:r/>
    </w:p>
    <w:p>
      <w:pPr>
        <w:pStyle w:val="712"/>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rPr>
          <w:rFonts w:ascii="宋体" w:hAnsi="宋体" w:cs="宋体"/>
          <w:sz w:val="24"/>
          <w:szCs w:val="24"/>
        </w:rPr>
      </w:r>
      <w:r/>
    </w:p>
    <w:p>
      <w:pPr>
        <w:pStyle w:val="712"/>
        <w:ind w:firstLine="480"/>
        <w:keepLines/>
        <w:keepNext/>
        <w:pageBreakBefore w:val="0"/>
        <w:spacing w:line="560" w:lineRule="exact"/>
        <w:widowControl w:val="off"/>
        <w:rPr>
          <w:rFonts w:hint="eastAsia" w:ascii="宋体" w:hAnsi="宋体"/>
          <w:sz w:val="24"/>
          <w:szCs w:val="24"/>
          <w:lang w:eastAsia="zh-CN"/>
        </w:rPr>
        <w:outlineLvl w:val="2"/>
      </w:pPr>
      <w:r>
        <w:rPr>
          <w:rFonts w:hint="eastAsia" w:ascii="宋体" w:hAnsi="宋体"/>
          <w:sz w:val="24"/>
          <w:szCs w:val="24"/>
        </w:rPr>
        <w:t xml:space="preserve">8.合同履行期限：</w:t>
      </w:r>
      <w:bookmarkStart w:id="7" w:name="_Toc38985264"/>
      <w:r/>
      <w:bookmarkStart w:id="8" w:name="_Toc35393791"/>
      <w:r/>
      <w:bookmarkStart w:id="9" w:name="_Toc35393622"/>
      <w:r/>
      <w:bookmarkStart w:id="10" w:name="_Toc28359080"/>
      <w:r/>
      <w:bookmarkStart w:id="11" w:name="_Toc28359003"/>
      <w:r>
        <w:rPr>
          <w:rFonts w:hint="eastAsia" w:ascii="宋体" w:hAnsi="宋体"/>
          <w:sz w:val="24"/>
          <w:szCs w:val="24"/>
          <w:lang w:val="en-US" w:eastAsia="zh-CN"/>
        </w:rPr>
        <w:t xml:space="preserve">合同签订90天内完成项目实施，包括硬件采购和安装、各应用模块开发和部署、软硬件集成调试等；服务期3年(含本项目收编接入的所有监控设施)</w:t>
      </w:r>
      <w:r>
        <w:rPr>
          <w:rFonts w:hint="eastAsia" w:ascii="宋体" w:hAnsi="宋体"/>
          <w:sz w:val="24"/>
          <w:szCs w:val="24"/>
          <w:lang w:eastAsia="zh-CN"/>
        </w:rPr>
        <w:t xml:space="preserve">。</w:t>
      </w:r>
      <w:r>
        <w:rPr>
          <w:rFonts w:hint="eastAsia" w:ascii="宋体" w:hAnsi="宋体"/>
          <w:sz w:val="24"/>
          <w:szCs w:val="24"/>
          <w:lang w:eastAsia="zh-CN"/>
        </w:rPr>
      </w:r>
      <w:r/>
    </w:p>
    <w:p>
      <w:pPr>
        <w:pStyle w:val="712"/>
        <w:ind w:firstLine="498"/>
        <w:keepLines/>
        <w:keepNext/>
        <w:spacing w:line="56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End w:id="7"/>
      <w:r/>
      <w:bookmarkEnd w:id="8"/>
      <w:r/>
      <w:bookmarkEnd w:id="9"/>
      <w:r/>
      <w:bookmarkEnd w:id="10"/>
      <w:r/>
      <w:bookmarkEnd w:id="11"/>
      <w:r>
        <w:rPr>
          <w:rFonts w:ascii="Times New Roman" w:hAnsi="Times New Roman"/>
          <w:b/>
          <w:bCs/>
          <w:color w:val="000000"/>
          <w:sz w:val="32"/>
          <w:szCs w:val="32"/>
        </w:rPr>
      </w:r>
      <w:r/>
    </w:p>
    <w:p>
      <w:pPr>
        <w:pStyle w:val="712"/>
        <w:ind w:firstLine="480"/>
        <w:spacing w:line="560" w:lineRule="exact"/>
        <w:rPr>
          <w:rFonts w:hint="eastAsia" w:ascii="宋体" w:hAnsi="宋体"/>
          <w:color w:val="000000"/>
          <w:sz w:val="24"/>
          <w:szCs w:val="24"/>
        </w:rPr>
      </w:pPr>
      <w:r/>
      <w:bookmarkStart w:id="12" w:name="_Toc38985265"/>
      <w:r/>
      <w:bookmarkStart w:id="13" w:name="_Toc35393623"/>
      <w:r/>
      <w:bookmarkStart w:id="14" w:name="_Toc35393792"/>
      <w:r/>
      <w:bookmarkStart w:id="15" w:name="_Toc28359081"/>
      <w:r/>
      <w:bookmarkStart w:id="16"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12"/>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1.满足《中华人民共和国政府采购法》第二十二条规定。（按附件1格式进行声明，投标文件中无需提供其他证明材料）</w:t>
      </w:r>
      <w:r>
        <w:rPr>
          <w:rFonts w:ascii="宋体" w:hAnsi="宋体"/>
          <w:color w:val="000000"/>
          <w:sz w:val="24"/>
          <w:szCs w:val="24"/>
        </w:rPr>
      </w:r>
      <w:r/>
    </w:p>
    <w:p>
      <w:pPr>
        <w:pStyle w:val="712"/>
        <w:ind w:firstLine="480"/>
        <w:spacing w:line="56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color w:val="000000"/>
          <w:sz w:val="36"/>
          <w:szCs w:val="36"/>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3.落实政府采购政策需满足的资格要求：本项目非专门面向中小微企业</w:t>
      </w:r>
      <w:r>
        <w:rPr>
          <w:rFonts w:hint="eastAsia" w:ascii="宋体" w:hAnsi="宋体"/>
          <w:color w:val="000000"/>
          <w:sz w:val="24"/>
          <w:szCs w:val="24"/>
        </w:rPr>
      </w:r>
      <w:r/>
    </w:p>
    <w:p>
      <w:pPr>
        <w:pStyle w:val="712"/>
        <w:ind w:firstLine="480"/>
        <w:spacing w:line="560" w:lineRule="exact"/>
        <w:rPr>
          <w:rFonts w:hint="eastAsia" w:ascii="宋体" w:hAnsi="宋体"/>
          <w:sz w:val="24"/>
          <w:szCs w:val="24"/>
        </w:rPr>
      </w:pPr>
      <w:r>
        <w:rPr>
          <w:rFonts w:hint="eastAsia" w:ascii="宋体" w:hAnsi="宋体"/>
          <w:sz w:val="24"/>
          <w:szCs w:val="24"/>
        </w:rPr>
        <w:t xml:space="preserve">4.本项目接受联合体投标,联合体中所有成员数量不得超过</w:t>
      </w:r>
      <w:r>
        <w:rPr>
          <w:rFonts w:hint="eastAsia" w:ascii="宋体" w:hAnsi="宋体"/>
          <w:sz w:val="24"/>
          <w:szCs w:val="24"/>
          <w:lang w:val="en-US" w:eastAsia="zh-CN"/>
        </w:rPr>
        <w:t xml:space="preserve">2</w:t>
      </w:r>
      <w:r>
        <w:rPr>
          <w:rFonts w:hint="eastAsia" w:ascii="宋体" w:hAnsi="宋体"/>
          <w:sz w:val="24"/>
          <w:szCs w:val="24"/>
        </w:rPr>
        <w:t xml:space="preserve">名，需明确牵头单位（须附联合体协议书）。</w:t>
      </w:r>
      <w:r>
        <w:rPr>
          <w:rFonts w:hint="eastAsia" w:ascii="宋体" w:hAnsi="宋体"/>
          <w:sz w:val="24"/>
          <w:szCs w:val="24"/>
        </w:rPr>
      </w:r>
      <w:r/>
    </w:p>
    <w:p>
      <w:pPr>
        <w:pStyle w:val="712"/>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712"/>
        <w:ind w:firstLine="480"/>
        <w:spacing w:line="560" w:lineRule="exact"/>
        <w:rPr>
          <w:rFonts w:ascii="宋体" w:hAnsi="宋体" w:cs="宋体"/>
          <w:color w:val="000000"/>
          <w:sz w:val="24"/>
          <w:szCs w:val="24"/>
        </w:rPr>
      </w:pPr>
      <w:r>
        <w:rPr>
          <w:rFonts w:hint="eastAsia" w:ascii="宋体" w:hAnsi="宋体" w:cs="宋体"/>
          <w:sz w:val="24"/>
          <w:szCs w:val="24"/>
        </w:rPr>
        <w:t xml:space="preserve">6.本项目</w:t>
      </w:r>
      <w:r>
        <w:rPr>
          <w:rFonts w:hint="eastAsia" w:ascii="宋体" w:hAnsi="宋体"/>
          <w:sz w:val="24"/>
          <w:szCs w:val="24"/>
        </w:rPr>
        <w:t xml:space="preserve">接受分包。本项目中标方需将线路的铺设、设备的安装调试等向中小</w:t>
      </w:r>
      <w:r>
        <w:rPr>
          <w:rFonts w:hint="eastAsia" w:ascii="宋体" w:hAnsi="宋体"/>
          <w:sz w:val="24"/>
          <w:szCs w:val="24"/>
          <w:lang w:val="en-US" w:eastAsia="zh-CN"/>
        </w:rPr>
        <w:t xml:space="preserve">微</w:t>
      </w:r>
      <w:r>
        <w:rPr>
          <w:rFonts w:hint="eastAsia" w:ascii="宋体" w:hAnsi="宋体"/>
          <w:sz w:val="24"/>
          <w:szCs w:val="24"/>
        </w:rPr>
        <w:t xml:space="preserve">企业分包，分包比例不低于合同总金额的</w:t>
      </w:r>
      <w:r>
        <w:rPr>
          <w:rFonts w:hint="eastAsia" w:ascii="宋体" w:hAnsi="宋体"/>
          <w:sz w:val="24"/>
          <w:szCs w:val="24"/>
          <w:lang w:val="en-US" w:eastAsia="zh-CN"/>
        </w:rPr>
        <w:t xml:space="preserve">4</w:t>
      </w:r>
      <w:r>
        <w:rPr>
          <w:rFonts w:hint="eastAsia" w:ascii="宋体" w:hAnsi="宋体"/>
          <w:sz w:val="24"/>
          <w:szCs w:val="24"/>
        </w:rPr>
        <w:t xml:space="preserve">0%。</w:t>
      </w:r>
      <w:r>
        <w:rPr>
          <w:rFonts w:ascii="宋体" w:hAnsi="宋体" w:cs="宋体"/>
          <w:color w:val="000000"/>
          <w:sz w:val="24"/>
          <w:szCs w:val="24"/>
        </w:rPr>
      </w:r>
      <w:r/>
    </w:p>
    <w:p>
      <w:pPr>
        <w:pStyle w:val="712"/>
        <w:ind w:firstLine="480"/>
        <w:spacing w:line="56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712"/>
        <w:ind w:firstLine="1562"/>
        <w:keepLines/>
        <w:keepNext/>
        <w:spacing w:line="560" w:lineRule="exact"/>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无</w:t>
      </w:r>
      <w:r>
        <w:rPr>
          <w:rFonts w:hint="eastAsia" w:ascii="宋体" w:hAnsi="宋体"/>
          <w:color w:val="000000"/>
          <w:sz w:val="24"/>
          <w:szCs w:val="24"/>
          <w:lang w:val="en-US" w:eastAsia="zh-CN"/>
        </w:rPr>
      </w:r>
      <w:r/>
    </w:p>
    <w:p>
      <w:pPr>
        <w:pStyle w:val="712"/>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三、获取招标文件</w:t>
      </w:r>
      <w:bookmarkEnd w:id="12"/>
      <w:r/>
      <w:bookmarkEnd w:id="13"/>
      <w:r/>
      <w:bookmarkEnd w:id="14"/>
      <w:r/>
      <w:bookmarkEnd w:id="15"/>
      <w:r/>
      <w:bookmarkEnd w:id="16"/>
      <w:r>
        <w:rPr>
          <w:rFonts w:hint="eastAsia" w:ascii="Times New Roman" w:hAnsi="Times New Roman" w:eastAsia="宋体" w:cs="Times New Roman"/>
          <w:b/>
          <w:bCs/>
          <w:color w:val="000000"/>
          <w:sz w:val="32"/>
          <w:szCs w:val="32"/>
        </w:rPr>
      </w:r>
      <w:r/>
    </w:p>
    <w:p>
      <w:pPr>
        <w:pStyle w:val="712"/>
        <w:ind w:firstLine="480"/>
        <w:pageBreakBefore w:val="0"/>
        <w:spacing w:line="560" w:lineRule="exact"/>
        <w:widowControl w:val="off"/>
        <w:rPr>
          <w:rFonts w:ascii="宋体" w:hAnsi="宋体" w:cs="宋体"/>
          <w:color w:val="000000"/>
          <w:sz w:val="24"/>
          <w:szCs w:val="24"/>
        </w:rPr>
      </w:pPr>
      <w:r/>
      <w:bookmarkStart w:id="17" w:name="_Toc28359005"/>
      <w:r/>
      <w:bookmarkStart w:id="18" w:name="_Toc28359082"/>
      <w:r/>
      <w:bookmarkStart w:id="19" w:name="_Toc38985266"/>
      <w:r/>
      <w:bookmarkStart w:id="20" w:name="_Toc35393624"/>
      <w:r/>
      <w:bookmarkStart w:id="21" w:name="_Toc35393793"/>
      <w:r>
        <w:rPr>
          <w:rFonts w:hint="eastAsia" w:ascii="宋体" w:hAnsi="宋体" w:cs="宋体"/>
          <w:color w:val="000000"/>
          <w:sz w:val="24"/>
          <w:szCs w:val="24"/>
        </w:rPr>
        <w:t xml:space="preserve">1.时间：</w:t>
      </w:r>
      <w:r>
        <w:rPr>
          <w:rFonts w:hint="eastAsia" w:ascii="宋体" w:hAnsi="宋体" w:cs="宋体"/>
          <w:sz w:val="24"/>
          <w:szCs w:val="24"/>
          <w:lang w:val="en-US" w:eastAsia="zh-CN"/>
        </w:rPr>
        <w:t xml:space="preserve">2025</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27</w:t>
      </w:r>
      <w:r>
        <w:rPr>
          <w:rFonts w:hint="eastAsia" w:ascii="宋体" w:hAnsi="宋体" w:cs="宋体"/>
          <w:sz w:val="24"/>
          <w:szCs w:val="24"/>
        </w:rPr>
        <w:t xml:space="preserve">日至</w:t>
      </w:r>
      <w:r>
        <w:rPr>
          <w:rFonts w:hint="eastAsia" w:ascii="宋体" w:hAnsi="宋体" w:cs="宋体"/>
          <w:sz w:val="24"/>
          <w:szCs w:val="24"/>
          <w:lang w:val="en-US" w:eastAsia="zh-CN"/>
        </w:rPr>
        <w:t xml:space="preserve">2025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日（提供期限自本公告发布之日起不得少于5个工作日）。</w:t>
      </w:r>
      <w:r>
        <w:rPr>
          <w:rFonts w:ascii="宋体" w:hAnsi="宋体" w:cs="宋体"/>
          <w:color w:val="000000"/>
          <w:sz w:val="24"/>
          <w:szCs w:val="24"/>
        </w:rPr>
      </w:r>
      <w:r/>
    </w:p>
    <w:p>
      <w:pPr>
        <w:pStyle w:val="712"/>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712"/>
        <w:ind w:firstLine="480"/>
        <w:pageBreakBefore w:val="0"/>
        <w:spacing w:line="560" w:lineRule="exact"/>
        <w:widowControl w:val="off"/>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2" w:name="_GoBack"/>
      <w:r/>
      <w:bookmarkEnd w:id="22"/>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712"/>
        <w:ind w:firstLine="482"/>
        <w:pageBreakBefore w:val="0"/>
        <w:spacing w:line="560" w:lineRule="exact"/>
        <w:widowControl w:val="off"/>
        <w:rPr>
          <w:rFonts w:ascii="宋体" w:hAnsi="宋体" w:cs="宋体"/>
          <w:color w:val="000000"/>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color w:val="000000"/>
          <w:sz w:val="24"/>
          <w:szCs w:val="24"/>
          <w:u w:val="single"/>
        </w:rPr>
      </w:r>
      <w:r/>
    </w:p>
    <w:p>
      <w:pPr>
        <w:pStyle w:val="712"/>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四、提交投标文件</w:t>
      </w:r>
      <w:bookmarkEnd w:id="17"/>
      <w:r/>
      <w:bookmarkEnd w:id="18"/>
      <w:r>
        <w:rPr>
          <w:rFonts w:hint="eastAsia" w:ascii="Times New Roman" w:hAnsi="Times New Roman" w:eastAsia="宋体" w:cs="Times New Roman"/>
          <w:b/>
          <w:bCs/>
          <w:color w:val="000000"/>
          <w:sz w:val="32"/>
          <w:szCs w:val="32"/>
        </w:rPr>
        <w:t xml:space="preserve">截止时间、开标时间和地点</w:t>
      </w:r>
      <w:bookmarkEnd w:id="19"/>
      <w:r/>
      <w:bookmarkEnd w:id="20"/>
      <w:r/>
      <w:bookmarkEnd w:id="21"/>
      <w:r>
        <w:rPr>
          <w:rFonts w:hint="eastAsia" w:ascii="Times New Roman" w:hAnsi="Times New Roman" w:eastAsia="宋体" w:cs="Times New Roman"/>
          <w:b/>
          <w:bCs/>
          <w:color w:val="000000"/>
          <w:sz w:val="32"/>
          <w:szCs w:val="32"/>
        </w:rPr>
      </w:r>
      <w:r/>
    </w:p>
    <w:p>
      <w:pPr>
        <w:pStyle w:val="712"/>
        <w:ind w:firstLine="480"/>
        <w:spacing w:line="56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lang w:val="en-US" w:eastAsia="zh-CN"/>
        </w:rPr>
        <w:t xml:space="preserve">025</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lang w:val="en-US" w:eastAsia="zh-CN"/>
        </w:rPr>
        <w:t xml:space="preserve">8</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t xml:space="preserve">（自招标文件开始发出之日起至投标人提交投标文件截止之日止，不得少于20日。）</w:t>
      </w:r>
      <w:r>
        <w:rPr>
          <w:rFonts w:ascii="宋体" w:hAnsi="宋体"/>
          <w:bCs/>
          <w:color w:val="000000"/>
          <w:sz w:val="24"/>
          <w:szCs w:val="24"/>
          <w:u w:val="single"/>
        </w:rPr>
      </w:r>
      <w:r/>
    </w:p>
    <w:p>
      <w:pPr>
        <w:pStyle w:val="712"/>
        <w:ind w:firstLine="480"/>
        <w:spacing w:line="560" w:lineRule="exact"/>
        <w:rPr>
          <w:rFonts w:hint="eastAsia" w:ascii="宋体" w:hAnsi="宋体"/>
          <w:sz w:val="24"/>
          <w:szCs w:val="24"/>
        </w:rPr>
      </w:pPr>
      <w:r>
        <w:rPr>
          <w:rFonts w:hint="eastAsia" w:ascii="宋体" w:hAnsi="宋体"/>
          <w:color w:val="000000"/>
          <w:sz w:val="24"/>
          <w:szCs w:val="24"/>
        </w:rPr>
        <w:t xml:space="preserve">2.地点：</w:t>
      </w:r>
      <w:r>
        <w:rPr>
          <w:rFonts w:hint="eastAsia" w:ascii="宋体" w:hAnsi="宋体"/>
          <w:sz w:val="24"/>
          <w:szCs w:val="24"/>
        </w:rPr>
        <w:t xml:space="preserve">“苏采云”政府采购交易系统网上开标大厅。</w:t>
      </w:r>
      <w:r>
        <w:rPr>
          <w:rFonts w:hint="eastAsia" w:ascii="宋体" w:hAnsi="宋体"/>
          <w:sz w:val="24"/>
          <w:szCs w:val="24"/>
        </w:rPr>
      </w:r>
      <w:r/>
    </w:p>
    <w:p>
      <w:pPr>
        <w:pStyle w:val="712"/>
        <w:ind w:firstLine="480"/>
        <w:spacing w:line="560" w:lineRule="exact"/>
        <w:rPr>
          <w:rFonts w:hint="eastAsia"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u w:val="single"/>
        </w:rPr>
      </w:r>
      <w:r/>
    </w:p>
    <w:p>
      <w:pPr>
        <w:pStyle w:val="712"/>
        <w:ind w:firstLine="498"/>
        <w:keepLines/>
        <w:keepNext/>
        <w:spacing w:line="560" w:lineRule="exact"/>
        <w:rPr>
          <w:rFonts w:hint="eastAsia" w:ascii="Times New Roman" w:hAnsi="Times New Roman" w:eastAsia="宋体" w:cs="Times New Roman"/>
          <w:b/>
          <w:bCs/>
          <w:color w:val="000000"/>
          <w:sz w:val="32"/>
          <w:szCs w:val="32"/>
        </w:rPr>
        <w:outlineLvl w:val="2"/>
      </w:pPr>
      <w:r/>
      <w:bookmarkStart w:id="23" w:name="_Toc35393794"/>
      <w:r/>
      <w:bookmarkStart w:id="24" w:name="_Toc38985267"/>
      <w:r/>
      <w:bookmarkStart w:id="25" w:name="_Toc35393625"/>
      <w:r/>
      <w:bookmarkStart w:id="26" w:name="_Toc28359007"/>
      <w:r/>
      <w:bookmarkStart w:id="27" w:name="_Toc28359084"/>
      <w:r>
        <w:rPr>
          <w:rFonts w:hint="eastAsia" w:ascii="Times New Roman" w:hAnsi="Times New Roman" w:eastAsia="宋体" w:cs="Times New Roman"/>
          <w:b/>
          <w:bCs/>
          <w:color w:val="000000"/>
          <w:sz w:val="32"/>
          <w:szCs w:val="32"/>
        </w:rPr>
        <w:t xml:space="preserve">五、公告期限</w:t>
      </w:r>
      <w:bookmarkEnd w:id="23"/>
      <w:r/>
      <w:bookmarkEnd w:id="24"/>
      <w:r/>
      <w:bookmarkEnd w:id="25"/>
      <w:r/>
      <w:bookmarkEnd w:id="26"/>
      <w:r/>
      <w:bookmarkEnd w:id="27"/>
      <w:r>
        <w:rPr>
          <w:rFonts w:hint="eastAsia" w:ascii="Times New Roman" w:hAnsi="Times New Roman" w:eastAsia="宋体" w:cs="Times New Roman"/>
          <w:b/>
          <w:bCs/>
          <w:color w:val="000000"/>
          <w:sz w:val="32"/>
          <w:szCs w:val="32"/>
        </w:rPr>
      </w:r>
      <w:r/>
    </w:p>
    <w:p>
      <w:pPr>
        <w:pStyle w:val="712"/>
        <w:ind w:firstLine="480"/>
        <w:spacing w:line="560" w:lineRule="exact"/>
        <w:rPr>
          <w:rFonts w:ascii="宋体" w:hAnsi="宋体" w:cs="宋体"/>
          <w:color w:val="000000"/>
          <w:sz w:val="24"/>
          <w:szCs w:val="24"/>
        </w:rPr>
      </w:pPr>
      <w:r/>
      <w:bookmarkStart w:id="28" w:name="_Toc38985268"/>
      <w:r/>
      <w:bookmarkStart w:id="29" w:name="_Toc35393626"/>
      <w:r/>
      <w:bookmarkStart w:id="30" w:name="_Toc35393795"/>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712"/>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六、其他补充事宜</w:t>
      </w:r>
      <w:bookmarkEnd w:id="28"/>
      <w:r/>
      <w:bookmarkEnd w:id="29"/>
      <w:r/>
      <w:bookmarkEnd w:id="30"/>
      <w:r>
        <w:rPr>
          <w:rFonts w:hint="eastAsia" w:ascii="Times New Roman" w:hAnsi="Times New Roman" w:eastAsia="宋体" w:cs="Times New Roman"/>
          <w:b/>
          <w:bCs/>
          <w:color w:val="000000"/>
          <w:sz w:val="32"/>
          <w:szCs w:val="32"/>
        </w:rPr>
      </w:r>
      <w:r/>
    </w:p>
    <w:p>
      <w:pPr>
        <w:pStyle w:val="712"/>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712"/>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712"/>
        <w:ind w:firstLine="480"/>
        <w:pageBreakBefore w:val="0"/>
        <w:spacing w:line="560" w:lineRule="exact"/>
        <w:widowControl w:val="off"/>
        <w:rPr>
          <w:rFonts w:ascii="宋体" w:hAnsi="宋体" w:eastAsia="宋体" w:cs="宋体"/>
          <w:sz w:val="24"/>
          <w:szCs w:val="24"/>
          <w:highlight w:val="none"/>
          <w:lang w:val="en-US" w:eastAsia="zh-CN"/>
        </w:rPr>
      </w:pPr>
      <w:r>
        <w:rPr>
          <w:rFonts w:hint="eastAsia" w:ascii="宋体" w:hAnsi="宋体" w:cs="宋体"/>
          <w:sz w:val="24"/>
          <w:szCs w:val="24"/>
        </w:rPr>
        <w:t xml:space="preserve">3.项目演示、样品、答辩等（如</w:t>
      </w:r>
      <w:r>
        <w:rPr>
          <w:rFonts w:hint="eastAsia" w:ascii="宋体" w:hAnsi="宋体" w:cs="宋体"/>
          <w:sz w:val="24"/>
          <w:szCs w:val="24"/>
          <w:highlight w:val="none"/>
        </w:rPr>
        <w:t xml:space="preserve">有请描述）</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w:t>
      </w:r>
      <w:r>
        <w:rPr>
          <w:rFonts w:ascii="宋体" w:hAnsi="宋体" w:eastAsia="宋体" w:cs="宋体"/>
          <w:sz w:val="24"/>
          <w:szCs w:val="24"/>
          <w:highlight w:val="none"/>
          <w:lang w:val="en-US" w:eastAsia="zh-CN"/>
        </w:rPr>
      </w:r>
      <w:r/>
    </w:p>
    <w:p>
      <w:pPr>
        <w:pStyle w:val="712"/>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712"/>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5.根据省财政厅《关于更换全省政府采购交易系统C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712"/>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712"/>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7.有关本次招标的事项若存在变动或修改，敬请及时关注海安市公共资源交易中心在“江苏政府采购网”发布的更正公告。</w:t>
      </w:r>
      <w:r>
        <w:rPr>
          <w:rFonts w:ascii="宋体" w:hAnsi="宋体" w:cs="宋体"/>
          <w:sz w:val="24"/>
          <w:szCs w:val="24"/>
        </w:rPr>
      </w:r>
      <w:r/>
    </w:p>
    <w:p>
      <w:pPr>
        <w:pStyle w:val="712"/>
        <w:ind w:firstLine="482"/>
        <w:keepLines/>
        <w:keepNext/>
        <w:pageBreakBefore w:val="0"/>
        <w:spacing w:line="560" w:lineRule="exact"/>
        <w:widowControl w:val="off"/>
        <w:rPr>
          <w:rFonts w:hint="eastAsia" w:ascii="Times New Roman" w:hAnsi="Times New Roman" w:eastAsia="宋体" w:cs="Times New Roman"/>
          <w:b/>
          <w:bCs/>
          <w:color w:val="000000"/>
          <w:sz w:val="32"/>
          <w:szCs w:val="32"/>
        </w:rPr>
        <w:outlineLvl w:val="2"/>
      </w:pPr>
      <w:r/>
      <w:bookmarkStart w:id="31" w:name="_Toc35393627"/>
      <w:r/>
      <w:bookmarkStart w:id="32" w:name="_Toc38985269"/>
      <w:r/>
      <w:bookmarkStart w:id="33" w:name="_Toc35393796"/>
      <w:r/>
      <w:bookmarkStart w:id="34" w:name="_Toc28359085"/>
      <w:r/>
      <w:bookmarkStart w:id="35" w:name="_Toc28359008"/>
      <w:r>
        <w:rPr>
          <w:rFonts w:hint="eastAsia" w:ascii="Times New Roman" w:hAnsi="Times New Roman" w:eastAsia="宋体" w:cs="Times New Roman"/>
          <w:b/>
          <w:bCs/>
          <w:color w:val="000000"/>
          <w:sz w:val="32"/>
          <w:szCs w:val="32"/>
        </w:rPr>
        <w:t xml:space="preserve">七、本次招标联系方式</w:t>
      </w:r>
      <w:bookmarkEnd w:id="31"/>
      <w:r/>
      <w:bookmarkEnd w:id="32"/>
      <w:r/>
      <w:bookmarkEnd w:id="33"/>
      <w:r/>
      <w:bookmarkEnd w:id="34"/>
      <w:r/>
      <w:bookmarkEnd w:id="35"/>
      <w:r>
        <w:rPr>
          <w:rFonts w:hint="eastAsia" w:ascii="Times New Roman" w:hAnsi="Times New Roman" w:eastAsia="宋体" w:cs="Times New Roman"/>
          <w:b/>
          <w:bCs/>
          <w:color w:val="000000"/>
          <w:sz w:val="32"/>
          <w:szCs w:val="32"/>
        </w:rPr>
      </w:r>
      <w:r/>
    </w:p>
    <w:p>
      <w:pPr>
        <w:pStyle w:val="712"/>
        <w:ind w:firstLine="480"/>
        <w:jc w:val="left"/>
        <w:keepLines w:val="0"/>
        <w:keepNext w:val="0"/>
        <w:pageBreakBefore w:val="0"/>
        <w:spacing w:line="56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712"/>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bidi="ar-SA"/>
        </w:rPr>
        <w:t xml:space="preserve">海安市教育体育局</w:t>
      </w:r>
      <w:r>
        <w:rPr>
          <w:rFonts w:ascii="宋体" w:hAnsi="宋体"/>
          <w:color w:val="000000"/>
          <w:sz w:val="24"/>
          <w:szCs w:val="24"/>
        </w:rPr>
        <w:t xml:space="preserve"> </w:t>
      </w:r>
      <w:r>
        <w:rPr>
          <w:rFonts w:ascii="宋体" w:hAnsi="宋体"/>
          <w:color w:val="000000"/>
          <w:sz w:val="24"/>
          <w:szCs w:val="24"/>
        </w:rPr>
      </w:r>
      <w:r/>
    </w:p>
    <w:p>
      <w:pPr>
        <w:pStyle w:val="712"/>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lang w:val="en-US" w:eastAsia="zh-CN" w:bidi="ar-SA"/>
        </w:rPr>
        <w:t xml:space="preserve">海安市黄海大道西3号</w:t>
      </w:r>
      <w:r>
        <w:rPr>
          <w:rFonts w:ascii="宋体" w:hAnsi="宋体"/>
          <w:color w:val="000000"/>
          <w:sz w:val="24"/>
          <w:szCs w:val="24"/>
        </w:rPr>
        <w:t xml:space="preserve"> </w:t>
      </w:r>
      <w:r>
        <w:rPr>
          <w:rFonts w:ascii="宋体" w:hAnsi="宋体"/>
          <w:color w:val="000000"/>
          <w:sz w:val="24"/>
          <w:szCs w:val="24"/>
        </w:rPr>
      </w:r>
      <w:r/>
    </w:p>
    <w:p>
      <w:pPr>
        <w:pStyle w:val="712"/>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bidi="ar-SA"/>
        </w:rPr>
        <w:t xml:space="preserve">金春明</w:t>
      </w:r>
      <w:r>
        <w:rPr>
          <w:rFonts w:hint="eastAsia" w:ascii="宋体" w:hAnsi="宋体"/>
          <w:color w:val="000000"/>
          <w:sz w:val="24"/>
          <w:szCs w:val="24"/>
        </w:rPr>
        <w:t xml:space="preserve"> </w:t>
      </w:r>
      <w:r>
        <w:rPr>
          <w:rFonts w:ascii="宋体" w:hAnsi="宋体"/>
          <w:color w:val="000000"/>
          <w:sz w:val="24"/>
          <w:szCs w:val="24"/>
        </w:rPr>
      </w:r>
      <w:r/>
    </w:p>
    <w:p>
      <w:pPr>
        <w:pStyle w:val="712"/>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lang w:val="en-US" w:eastAsia="zh-CN" w:bidi="ar-SA"/>
        </w:rPr>
        <w:t xml:space="preserve">18015903335</w:t>
      </w:r>
      <w:r>
        <w:rPr>
          <w:rFonts w:hint="eastAsia" w:ascii="宋体" w:hAnsi="宋体"/>
          <w:color w:val="000000"/>
          <w:sz w:val="24"/>
          <w:szCs w:val="24"/>
        </w:rPr>
        <w:t xml:space="preserve"> </w:t>
      </w:r>
      <w:bookmarkStart w:id="36" w:name="_Toc28359086"/>
      <w:r/>
      <w:bookmarkStart w:id="37" w:name="_Toc28359009"/>
      <w:r>
        <w:rPr>
          <w:rFonts w:ascii="宋体" w:hAnsi="宋体"/>
          <w:color w:val="000000"/>
          <w:sz w:val="24"/>
          <w:szCs w:val="24"/>
        </w:rPr>
      </w:r>
      <w:r/>
    </w:p>
    <w:p>
      <w:pPr>
        <w:pStyle w:val="712"/>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s="宋体"/>
          <w:color w:val="000000"/>
          <w:sz w:val="24"/>
          <w:szCs w:val="24"/>
        </w:rPr>
        <w:t xml:space="preserve">2.</w:t>
      </w:r>
      <w:bookmarkEnd w:id="36"/>
      <w:r/>
      <w:bookmarkEnd w:id="37"/>
      <w:r>
        <w:rPr>
          <w:rFonts w:hint="eastAsia"/>
        </w:rPr>
        <w:t xml:space="preserve"> </w:t>
      </w:r>
      <w:r>
        <w:rPr>
          <w:rFonts w:hint="eastAsia" w:ascii="宋体" w:hAnsi="宋体" w:cs="宋体"/>
          <w:color w:val="000000"/>
          <w:sz w:val="24"/>
          <w:szCs w:val="24"/>
        </w:rPr>
        <w:t xml:space="preserve">海安市公共资源交易中心</w:t>
      </w:r>
      <w:r>
        <w:rPr>
          <w:rFonts w:ascii="宋体" w:hAnsi="宋体"/>
          <w:color w:val="000000"/>
          <w:sz w:val="24"/>
          <w:szCs w:val="24"/>
        </w:rPr>
      </w:r>
      <w:r/>
    </w:p>
    <w:p>
      <w:pPr>
        <w:pStyle w:val="712"/>
        <w:ind w:left="0" w:firstLine="480"/>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sz w:val="24"/>
          <w:szCs w:val="24"/>
        </w:rPr>
        <w:t xml:space="preserve">海安市镇南路399号</w:t>
      </w:r>
      <w:r>
        <w:rPr>
          <w:rFonts w:ascii="宋体" w:hAnsi="宋体"/>
          <w:color w:val="000000"/>
          <w:sz w:val="24"/>
          <w:szCs w:val="24"/>
        </w:rPr>
      </w:r>
      <w:r/>
    </w:p>
    <w:p>
      <w:pPr>
        <w:pStyle w:val="712"/>
        <w:ind w:left="0" w:firstLine="480"/>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sz w:val="24"/>
          <w:szCs w:val="24"/>
        </w:rPr>
        <w:t xml:space="preserve">见项目联系方式</w:t>
      </w:r>
      <w:r>
        <w:rPr>
          <w:rFonts w:ascii="宋体" w:hAnsi="宋体"/>
          <w:color w:val="000000"/>
          <w:sz w:val="24"/>
          <w:szCs w:val="24"/>
        </w:rPr>
      </w:r>
      <w:r/>
    </w:p>
    <w:p>
      <w:pPr>
        <w:pStyle w:val="712"/>
        <w:ind w:left="0" w:firstLine="480"/>
        <w:keepLines w:val="0"/>
        <w:keepNext w:val="0"/>
        <w:pageBreakBefore w:val="0"/>
        <w:spacing w:line="560" w:lineRule="exact"/>
        <w:widowControl w:val="off"/>
        <w:rPr>
          <w:rFonts w:hint="eastAsia" w:ascii="宋体" w:hAnsi="宋体"/>
          <w:color w:val="000000"/>
          <w:sz w:val="24"/>
          <w:szCs w:val="24"/>
          <w:u w:val="single"/>
        </w:rPr>
      </w:pPr>
      <w:r>
        <w:rPr>
          <w:rFonts w:hint="eastAsia" w:ascii="宋体" w:hAnsi="宋体"/>
          <w:color w:val="000000"/>
          <w:sz w:val="24"/>
          <w:szCs w:val="24"/>
        </w:rPr>
        <w:t xml:space="preserve">联系方式：</w:t>
      </w:r>
      <w:bookmarkStart w:id="38" w:name="_Toc28359087"/>
      <w:r/>
      <w:bookmarkStart w:id="39" w:name="_Toc28359010"/>
      <w:r>
        <w:rPr>
          <w:rFonts w:ascii="宋体" w:hAnsi="宋体"/>
          <w:sz w:val="24"/>
          <w:szCs w:val="24"/>
        </w:rPr>
        <w:t xml:space="preserve">0513-81819585</w:t>
      </w:r>
      <w:r>
        <w:rPr>
          <w:rFonts w:hint="eastAsia" w:ascii="宋体" w:hAnsi="宋体"/>
          <w:color w:val="000000"/>
          <w:sz w:val="24"/>
          <w:szCs w:val="24"/>
          <w:u w:val="single"/>
        </w:rPr>
      </w:r>
      <w:r/>
    </w:p>
    <w:p>
      <w:pPr>
        <w:pStyle w:val="712"/>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3.项目联系方式</w:t>
      </w:r>
      <w:r>
        <w:rPr>
          <w:rFonts w:ascii="宋体" w:hAnsi="宋体"/>
          <w:color w:val="000000"/>
          <w:sz w:val="24"/>
          <w:szCs w:val="24"/>
        </w:rPr>
      </w:r>
      <w:r/>
    </w:p>
    <w:p>
      <w:pPr>
        <w:pStyle w:val="712"/>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招标文件制作人: 0513-81819585</w:t>
      </w:r>
      <w:r>
        <w:rPr>
          <w:rFonts w:ascii="宋体" w:hAnsi="宋体"/>
          <w:color w:val="000000"/>
          <w:sz w:val="24"/>
          <w:szCs w:val="24"/>
        </w:rPr>
      </w:r>
      <w:r/>
    </w:p>
    <w:p>
      <w:pPr>
        <w:pStyle w:val="712"/>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项目开标人： 0513-</w:t>
      </w:r>
      <w:r>
        <w:rPr>
          <w:rFonts w:hint="eastAsia" w:ascii="宋体" w:hAnsi="宋体"/>
          <w:color w:val="000000"/>
          <w:sz w:val="24"/>
          <w:szCs w:val="24"/>
        </w:rPr>
        <w:t xml:space="preserve">81819585</w:t>
      </w:r>
      <w:r>
        <w:rPr>
          <w:rFonts w:ascii="宋体" w:hAnsi="宋体"/>
          <w:color w:val="000000"/>
          <w:sz w:val="24"/>
          <w:szCs w:val="24"/>
        </w:rPr>
      </w:r>
      <w:r/>
    </w:p>
    <w:p>
      <w:pPr>
        <w:pStyle w:val="712"/>
        <w:ind w:left="0" w:firstLine="480"/>
        <w:keepLines w:val="0"/>
        <w:keepNext w:val="0"/>
        <w:pageBreakBefore w:val="0"/>
        <w:spacing w:line="560" w:lineRule="exact"/>
        <w:widowControl w:val="off"/>
        <w:rPr>
          <w:rFonts w:hint="eastAsia" w:ascii="宋体" w:hAnsi="宋体"/>
          <w:sz w:val="24"/>
          <w:szCs w:val="24"/>
        </w:rPr>
      </w:pPr>
      <w:r>
        <w:rPr>
          <w:rFonts w:ascii="宋体" w:hAnsi="宋体"/>
          <w:color w:val="000000"/>
          <w:sz w:val="24"/>
          <w:szCs w:val="24"/>
        </w:rPr>
        <w:t xml:space="preserve">交易系统软件维护人员：</w:t>
      </w:r>
      <w:bookmarkEnd w:id="38"/>
      <w:r/>
      <w:bookmarkEnd w:id="39"/>
      <w:r/>
      <w:bookmarkStart w:id="40" w:name="_Toc120614211"/>
      <w:r>
        <w:rPr>
          <w:rFonts w:ascii="宋体" w:hAnsi="宋体"/>
          <w:sz w:val="24"/>
          <w:szCs w:val="24"/>
        </w:rPr>
        <w:t xml:space="preserve"> </w:t>
      </w:r>
      <w:r>
        <w:rPr>
          <w:rFonts w:hint="eastAsia" w:ascii="宋体" w:hAnsi="宋体"/>
          <w:sz w:val="24"/>
          <w:szCs w:val="24"/>
        </w:rPr>
        <w:t xml:space="preserve">0519-86722801、0513-59001950</w:t>
      </w: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712"/>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12"/>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12"/>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12"/>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12"/>
        <w:ind w:firstLine="1325"/>
        <w:spacing w:line="560" w:lineRule="exact"/>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712"/>
        <w:jc w:val="center"/>
        <w:keepNext/>
        <w:spacing w:line="560" w:lineRule="exact"/>
        <w:rPr>
          <w:rFonts w:hint="eastAsia" w:ascii="黑体" w:hAnsi="Times New Roman" w:eastAsia="黑体"/>
          <w:color w:val="000000"/>
          <w:sz w:val="44"/>
          <w:szCs w:val="44"/>
        </w:rPr>
        <w:outlineLvl w:val="0"/>
      </w:pPr>
      <w:r>
        <w:rPr>
          <w:rFonts w:hint="eastAsia" w:ascii="黑体" w:hAnsi="Times New Roman" w:eastAsia="黑体"/>
          <w:color w:val="000000"/>
          <w:sz w:val="44"/>
          <w:szCs w:val="44"/>
        </w:rPr>
        <w:t xml:space="preserve">第二章  </w:t>
      </w:r>
      <w:bookmarkEnd w:id="1"/>
      <w:r/>
      <w:bookmarkEnd w:id="2"/>
      <w:r/>
      <w:bookmarkEnd w:id="3"/>
      <w:r/>
      <w:bookmarkEnd w:id="4"/>
      <w:r/>
      <w:bookmarkEnd w:id="5"/>
      <w:r/>
      <w:bookmarkEnd w:id="40"/>
      <w:r/>
      <w:bookmarkStart w:id="41" w:name="_Toc513029202"/>
      <w:r/>
      <w:bookmarkStart w:id="42" w:name="_Toc20823274"/>
      <w:r/>
      <w:bookmarkStart w:id="43" w:name="_Toc120614213"/>
      <w:r/>
      <w:bookmarkStart w:id="44" w:name="_Toc16938518"/>
      <w:r>
        <w:rPr>
          <w:rFonts w:hint="eastAsia" w:ascii="黑体" w:hAnsi="Times New Roman" w:eastAsia="黑体"/>
          <w:color w:val="000000"/>
          <w:sz w:val="44"/>
          <w:szCs w:val="44"/>
        </w:rPr>
        <w:t xml:space="preserve">投标人须知</w:t>
      </w:r>
      <w:bookmarkEnd w:id="41"/>
      <w:r/>
      <w:bookmarkEnd w:id="42"/>
      <w:r/>
      <w:bookmarkEnd w:id="43"/>
      <w:r/>
      <w:bookmarkEnd w:id="44"/>
      <w:r>
        <w:rPr>
          <w:rFonts w:hint="eastAsia" w:ascii="黑体" w:hAnsi="Times New Roman" w:eastAsia="黑体"/>
          <w:color w:val="000000"/>
          <w:sz w:val="44"/>
          <w:szCs w:val="44"/>
        </w:rPr>
      </w:r>
      <w:r/>
    </w:p>
    <w:p>
      <w:pPr>
        <w:pStyle w:val="712"/>
        <w:ind w:firstLine="482"/>
        <w:keepLines w:val="0"/>
        <w:keepNext w:val="0"/>
        <w:pageBreakBefore w:val="0"/>
        <w:spacing w:line="520" w:lineRule="exact"/>
        <w:widowControl w:val="off"/>
        <w:rPr>
          <w:rFonts w:hint="eastAsia"/>
          <w:b/>
          <w:bCs/>
          <w:sz w:val="32"/>
          <w:szCs w:val="32"/>
        </w:rPr>
        <w:outlineLvl w:val="9"/>
      </w:pPr>
      <w:r/>
      <w:bookmarkStart w:id="45" w:name="_Toc16938519"/>
      <w:r/>
      <w:bookmarkStart w:id="46" w:name="_Toc120614214"/>
      <w:r/>
      <w:bookmarkStart w:id="47" w:name="_Toc20823275"/>
      <w:r/>
      <w:bookmarkStart w:id="48" w:name="_Toc513029203"/>
      <w:r>
        <w:rPr>
          <w:rFonts w:hint="eastAsia"/>
          <w:b/>
          <w:bCs/>
          <w:sz w:val="32"/>
          <w:szCs w:val="32"/>
        </w:rPr>
        <w:t xml:space="preserve">一、总则</w:t>
      </w:r>
      <w:bookmarkEnd w:id="45"/>
      <w:r/>
      <w:bookmarkEnd w:id="46"/>
      <w:r/>
      <w:bookmarkEnd w:id="47"/>
      <w:r/>
      <w:bookmarkEnd w:id="48"/>
      <w:r>
        <w:rPr>
          <w:rFonts w:hint="eastAsia"/>
          <w:b/>
          <w:bCs/>
          <w:sz w:val="32"/>
          <w:szCs w:val="32"/>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49" w:name="_Hlt16619475"/>
      <w:r/>
      <w:bookmarkEnd w:id="49"/>
      <w:r/>
      <w:bookmarkStart w:id="50" w:name="_Toc458694821"/>
      <w:r/>
      <w:bookmarkStart w:id="51" w:name="_Toc513029204"/>
      <w:r/>
      <w:bookmarkStart w:id="52" w:name="_Toc16938520"/>
      <w:r/>
      <w:bookmarkStart w:id="53" w:name="_Toc20823276"/>
      <w:r>
        <w:rPr>
          <w:rFonts w:hint="eastAsia" w:ascii="Arial" w:hAnsi="Arial" w:eastAsia="黑体" w:cs="Arial"/>
          <w:color w:val="000000"/>
          <w:sz w:val="28"/>
          <w:szCs w:val="28"/>
        </w:rPr>
        <w:t xml:space="preserve">1</w:t>
      </w:r>
      <w:bookmarkEnd w:id="50"/>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招标方式</w:t>
      </w:r>
      <w:bookmarkEnd w:id="51"/>
      <w:r/>
      <w:bookmarkEnd w:id="52"/>
      <w:r/>
      <w:bookmarkEnd w:id="53"/>
      <w:r>
        <w:rPr>
          <w:rFonts w:hint="eastAsia" w:ascii="Arial" w:hAnsi="Arial" w:eastAsia="黑体" w:cs="Arial"/>
          <w:color w:val="000000"/>
          <w:sz w:val="28"/>
          <w:szCs w:val="28"/>
        </w:rPr>
      </w:r>
      <w:r/>
    </w:p>
    <w:p>
      <w:pPr>
        <w:pStyle w:val="712"/>
        <w:ind w:firstLine="480"/>
        <w:jc w:val="both"/>
        <w:keepLines w:val="0"/>
        <w:keepNext w:val="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54" w:name="_Toc16938521"/>
      <w:r/>
      <w:bookmarkStart w:id="55" w:name="_Toc513029205"/>
      <w:r/>
      <w:bookmarkStart w:id="56"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合格的投标人</w:t>
      </w:r>
      <w:bookmarkEnd w:id="54"/>
      <w:r/>
      <w:bookmarkEnd w:id="55"/>
      <w:r/>
      <w:bookmarkEnd w:id="56"/>
      <w:r>
        <w:rPr>
          <w:rFonts w:hint="eastAsia" w:ascii="Arial" w:hAnsi="Arial" w:eastAsia="黑体" w:cs="Arial"/>
          <w:color w:val="000000"/>
          <w:sz w:val="28"/>
          <w:szCs w:val="28"/>
        </w:rPr>
      </w:r>
      <w:r/>
    </w:p>
    <w:p>
      <w:pPr>
        <w:pStyle w:val="712"/>
        <w:ind w:firstLine="480"/>
        <w:jc w:val="both"/>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12"/>
        <w:ind w:firstLine="480"/>
        <w:jc w:val="both"/>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57" w:name="_Toc16938522"/>
      <w:r/>
      <w:bookmarkStart w:id="58" w:name="_Toc513029206"/>
      <w:r/>
      <w:bookmarkStart w:id="59" w:name="_Toc20823278"/>
      <w:r>
        <w:rPr>
          <w:rFonts w:hint="eastAsia" w:ascii="Arial" w:hAnsi="Arial" w:eastAsia="黑体" w:cs="Arial"/>
          <w:color w:val="000000"/>
          <w:sz w:val="28"/>
          <w:szCs w:val="28"/>
        </w:rPr>
        <w:t xml:space="preserve">3</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适用法律</w:t>
      </w:r>
      <w:bookmarkEnd w:id="57"/>
      <w:r/>
      <w:bookmarkEnd w:id="58"/>
      <w:r/>
      <w:bookmarkEnd w:id="59"/>
      <w:r>
        <w:rPr>
          <w:rFonts w:hint="eastAsia" w:ascii="Arial" w:hAnsi="Arial" w:eastAsia="黑体" w:cs="Arial"/>
          <w:color w:val="000000"/>
          <w:sz w:val="28"/>
          <w:szCs w:val="28"/>
        </w:rPr>
      </w:r>
      <w:r/>
    </w:p>
    <w:p>
      <w:pPr>
        <w:pStyle w:val="712"/>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3.1 本次招标及由此产生的合同受中华人民共和国有关的法律法规制约和保护。</w:t>
      </w:r>
      <w:r>
        <w:rPr>
          <w:rFonts w:hint="eastAsia" w:ascii="宋体" w:hAnsi="宋体" w:eastAsia="宋体" w:cs="Times New Roman"/>
          <w:color w:val="000000"/>
          <w:sz w:val="24"/>
          <w:szCs w:val="24"/>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60" w:name="_Toc513029207"/>
      <w:r/>
      <w:bookmarkStart w:id="61" w:name="_Toc16938523"/>
      <w:r/>
      <w:bookmarkStart w:id="62" w:name="_Toc462564067"/>
      <w:r/>
      <w:bookmarkStart w:id="63"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投标费用</w:t>
      </w:r>
      <w:bookmarkEnd w:id="60"/>
      <w:r/>
      <w:bookmarkEnd w:id="61"/>
      <w:r/>
      <w:bookmarkEnd w:id="62"/>
      <w:r/>
      <w:bookmarkEnd w:id="63"/>
      <w:r>
        <w:rPr>
          <w:rFonts w:hint="eastAsia" w:ascii="Arial" w:hAnsi="Arial" w:eastAsia="黑体" w:cs="Arial"/>
          <w:color w:val="000000"/>
          <w:sz w:val="28"/>
          <w:szCs w:val="28"/>
        </w:rPr>
      </w:r>
      <w:r/>
    </w:p>
    <w:p>
      <w:pPr>
        <w:pStyle w:val="712"/>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4.1 投标人应自行承担所有与参加投标有关的费用，无论投标过程中的做法和结果如何，海安市公共资源交易中心（以下简称交易中心）在任何情况下均无义务和责任承担这些费用。</w:t>
      </w:r>
      <w:r>
        <w:rPr>
          <w:rFonts w:hint="eastAsia" w:ascii="宋体" w:hAnsi="宋体" w:eastAsia="宋体" w:cs="Times New Roman"/>
          <w:color w:val="000000"/>
          <w:sz w:val="24"/>
          <w:szCs w:val="24"/>
        </w:rPr>
      </w:r>
      <w:r/>
    </w:p>
    <w:p>
      <w:pPr>
        <w:pStyle w:val="712"/>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4.2本次招标交易中心和采购人不收取标书工本费与中标服务费。</w:t>
      </w:r>
      <w:r>
        <w:rPr>
          <w:rFonts w:hint="eastAsia" w:ascii="宋体" w:hAnsi="宋体" w:eastAsia="宋体" w:cs="Times New Roman"/>
          <w:color w:val="000000"/>
          <w:sz w:val="24"/>
          <w:szCs w:val="24"/>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rPr>
          <w:rFonts w:hint="eastAsia" w:ascii="Arial" w:hAnsi="Arial" w:eastAsia="黑体" w:cs="Arial"/>
          <w:color w:val="000000"/>
          <w:sz w:val="28"/>
          <w:szCs w:val="28"/>
        </w:rPr>
        <w:t xml:space="preserve">5</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招标文件的约束力</w:t>
      </w:r>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64" w:name="_Toc20823281"/>
      <w:r/>
      <w:bookmarkStart w:id="65" w:name="_Toc513029209"/>
      <w:r/>
      <w:bookmarkStart w:id="66" w:name="_Toc16938525"/>
      <w:r/>
      <w:bookmarkStart w:id="67" w:name="_Toc120614215"/>
      <w:r>
        <w:rPr>
          <w:rFonts w:hint="eastAsia" w:ascii="Times New Roman" w:hAnsi="Times New Roman" w:eastAsia="宋体" w:cs="Times New Roman"/>
          <w:b/>
          <w:bCs/>
          <w:sz w:val="32"/>
          <w:szCs w:val="32"/>
        </w:rPr>
        <w:t xml:space="preserve">二、招标文件</w:t>
      </w:r>
      <w:bookmarkEnd w:id="64"/>
      <w:r/>
      <w:bookmarkEnd w:id="65"/>
      <w:r/>
      <w:bookmarkEnd w:id="66"/>
      <w:r/>
      <w:bookmarkEnd w:id="67"/>
      <w:r>
        <w:rPr>
          <w:rFonts w:hint="eastAsia" w:ascii="Times New Roman" w:hAnsi="Times New Roman" w:eastAsia="宋体" w:cs="Times New Roman"/>
          <w:b/>
          <w:bCs/>
          <w:sz w:val="32"/>
          <w:szCs w:val="32"/>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68" w:name="_Toc20823282"/>
      <w:r/>
      <w:bookmarkStart w:id="69" w:name="_Toc513029210"/>
      <w:r/>
      <w:bookmarkStart w:id="70"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招标文件构成</w:t>
      </w:r>
      <w:bookmarkEnd w:id="68"/>
      <w:r/>
      <w:bookmarkEnd w:id="69"/>
      <w:r/>
      <w:bookmarkEnd w:id="70"/>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（3）采购需求</w:t>
      </w:r>
      <w:r>
        <w:rPr>
          <w:rFonts w:hint="eastAsia" w:ascii="宋体" w:hAnsi="宋体"/>
          <w:color w:val="000000"/>
          <w:sz w:val="24"/>
          <w:szCs w:val="24"/>
        </w:rPr>
      </w:r>
      <w:r/>
    </w:p>
    <w:p>
      <w:pPr>
        <w:pStyle w:val="712"/>
        <w:ind w:firstLine="480"/>
        <w:pageBreakBefore w:val="0"/>
        <w:spacing w:line="520" w:lineRule="exact"/>
        <w:widowControl w:val="off"/>
        <w:rPr>
          <w:rFonts w:hint="eastAsia" w:ascii="Times New Roman" w:hAnsi="Times New Roman"/>
          <w:color w:val="000000"/>
          <w:sz w:val="24"/>
          <w:szCs w:val="24"/>
        </w:rPr>
        <w:outlineLvl w:val="9"/>
      </w:pPr>
      <w:r>
        <w:rPr>
          <w:rFonts w:hint="eastAsia" w:ascii="宋体" w:hAnsi="宋体"/>
          <w:color w:val="000000"/>
          <w:sz w:val="24"/>
          <w:szCs w:val="24"/>
        </w:rPr>
        <w:t xml:space="preserve">（4）</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（5）投标文件格式</w:t>
      </w:r>
      <w:r>
        <w:rPr>
          <w:rFonts w:hint="eastAsia" w:ascii="宋体" w:hAnsi="宋体"/>
          <w:color w:val="000000"/>
          <w:sz w:val="24"/>
          <w:szCs w:val="24"/>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（6）附件（如有）</w:t>
      </w:r>
      <w:r>
        <w:rPr>
          <w:rFonts w:hint="eastAsia" w:ascii="宋体" w:hAnsi="宋体"/>
          <w:color w:val="000000"/>
          <w:sz w:val="24"/>
          <w:szCs w:val="24"/>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请仔细检查招标文件是否齐全，如有缺漏请立即与交易中心联系解决。</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71" w:name="_Toc16938527"/>
      <w:r/>
      <w:bookmarkStart w:id="72" w:name="_Toc513029211"/>
      <w:r/>
      <w:bookmarkStart w:id="73" w:name="_Toc462564070"/>
      <w:r/>
      <w:bookmarkStart w:id="74" w:name="_Toc20823283"/>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招标文件的澄清</w:t>
      </w:r>
      <w:bookmarkEnd w:id="71"/>
      <w:r/>
      <w:bookmarkEnd w:id="72"/>
      <w:r/>
      <w:bookmarkEnd w:id="73"/>
      <w:r/>
      <w:bookmarkEnd w:id="74"/>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按招标公告中的通讯地址，以书面形式通知交易中心。</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宋体"/>
          <w:color w:val="000000"/>
          <w:sz w:val="24"/>
          <w:szCs w:val="24"/>
        </w:rPr>
        <w:outlineLvl w:val="9"/>
      </w:pPr>
      <w:r>
        <w:rPr>
          <w:rFonts w:hint="eastAsia" w:ascii="宋体" w:hAnsi="宋体"/>
          <w:sz w:val="24"/>
          <w:szCs w:val="21"/>
        </w:rPr>
        <w:t xml:space="preserve">7.2采购人视情组织答疑会。</w:t>
      </w:r>
      <w:r>
        <w:rPr>
          <w:rFonts w:hint="eastAsia" w:ascii="宋体" w:hAnsi="宋体"/>
          <w:color w:val="000000"/>
          <w:sz w:val="24"/>
          <w:szCs w:val="24"/>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75" w:name="_Toc513029212"/>
      <w:r/>
      <w:bookmarkStart w:id="76" w:name="_Toc20823284"/>
      <w:r/>
      <w:bookmarkStart w:id="77" w:name="_Toc462564071"/>
      <w:r/>
      <w:bookmarkStart w:id="78" w:name="_Toc16938528"/>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Arial"/>
          <w:color w:val="000000"/>
          <w:sz w:val="28"/>
          <w:szCs w:val="21"/>
        </w:rPr>
        <w:outlineLvl w:val="9"/>
      </w:pPr>
      <w:r>
        <w:rPr>
          <w:rFonts w:hint="eastAsia" w:ascii="宋体" w:hAnsi="宋体"/>
          <w:bCs/>
          <w:color w:val="000000"/>
          <w:sz w:val="24"/>
          <w:szCs w:val="21"/>
        </w:rPr>
        <w:t xml:space="preserve">8.2 </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79" w:name="_Toc20823285"/>
      <w:r/>
      <w:bookmarkStart w:id="80" w:name="_Toc513029213"/>
      <w:r/>
      <w:bookmarkStart w:id="81" w:name="_Toc462564072"/>
      <w:r/>
      <w:bookmarkStart w:id="82" w:name="_Toc120614216"/>
      <w:r/>
      <w:bookmarkStart w:id="83" w:name="_Toc16938529"/>
      <w:r>
        <w:rPr>
          <w:rFonts w:hint="eastAsia" w:ascii="Times New Roman" w:hAnsi="Times New Roman" w:eastAsia="宋体" w:cs="Times New Roman"/>
          <w:b/>
          <w:bCs/>
          <w:sz w:val="32"/>
          <w:szCs w:val="32"/>
        </w:rPr>
        <w:t xml:space="preserve">三、投标文件的编制</w:t>
      </w:r>
      <w:bookmarkEnd w:id="79"/>
      <w:r/>
      <w:bookmarkEnd w:id="80"/>
      <w:r/>
      <w:bookmarkEnd w:id="81"/>
      <w:r/>
      <w:bookmarkEnd w:id="82"/>
      <w:r/>
      <w:bookmarkEnd w:id="83"/>
      <w:r>
        <w:rPr>
          <w:rFonts w:hint="eastAsia" w:ascii="Times New Roman" w:hAnsi="Times New Roman" w:eastAsia="宋体" w:cs="Times New Roman"/>
          <w:b/>
          <w:bCs/>
          <w:sz w:val="32"/>
          <w:szCs w:val="32"/>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84" w:name="_Toc20823286"/>
      <w:r/>
      <w:bookmarkStart w:id="85" w:name="_Toc513029214"/>
      <w:r/>
      <w:bookmarkStart w:id="86" w:name="_Toc16938530"/>
      <w:r/>
      <w:bookmarkStart w:id="87" w:name="_Toc462564073"/>
      <w:r>
        <w:rPr>
          <w:rFonts w:hint="eastAsia" w:ascii="Arial" w:hAnsi="Arial" w:eastAsia="黑体" w:cs="Arial"/>
          <w:color w:val="000000"/>
          <w:sz w:val="28"/>
          <w:szCs w:val="28"/>
        </w:rPr>
        <w:t xml:space="preserve">9</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88" w:name="_Toc16938531"/>
      <w:r/>
      <w:bookmarkStart w:id="89" w:name="_Toc513029215"/>
      <w:r/>
      <w:bookmarkStart w:id="90" w:name="_Toc462564074"/>
      <w:r/>
      <w:bookmarkStart w:id="91" w:name="_Toc20823287"/>
      <w:r>
        <w:rPr>
          <w:rFonts w:hint="eastAsia" w:ascii="Arial" w:hAnsi="Arial" w:eastAsia="黑体" w:cs="Arial"/>
          <w:color w:val="000000"/>
          <w:sz w:val="28"/>
          <w:szCs w:val="28"/>
        </w:rPr>
        <w:t xml:space="preserve">10</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12"/>
        <w:ind w:firstLine="48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14577355"/>
      <w:r/>
      <w:bookmarkStart w:id="102" w:name="_Toc49090508"/>
      <w:r>
        <w:rPr>
          <w:rFonts w:hint="eastAsia" w:ascii="Arial" w:hAnsi="Arial" w:eastAsia="黑体" w:cs="Arial"/>
          <w:color w:val="000000"/>
          <w:sz w:val="28"/>
          <w:szCs w:val="28"/>
        </w:rPr>
        <w:t xml:space="preserve">11</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712"/>
        <w:ind w:firstLine="480"/>
        <w:pageBreakBefore w:val="0"/>
        <w:spacing w:line="520" w:lineRule="exact"/>
        <w:widowControl w:val="off"/>
        <w:rPr>
          <w:rFonts w:hint="eastAsia" w:ascii="宋体" w:hAnsi="宋体"/>
          <w:color w:val="000000"/>
          <w:sz w:val="24"/>
          <w:szCs w:val="24"/>
        </w:rPr>
        <w:outlineLvl w:val="9"/>
      </w:pPr>
      <w:r/>
      <w:bookmarkEnd w:id="98"/>
      <w:r/>
      <w:bookmarkEnd w:id="99"/>
      <w:r/>
      <w:bookmarkEnd w:id="100"/>
      <w:r>
        <w:rPr>
          <w:rFonts w:hint="eastAsia" w:ascii="宋体" w:hAnsi="宋体"/>
          <w:color w:val="000000"/>
          <w:sz w:val="24"/>
          <w:szCs w:val="24"/>
        </w:rPr>
        <w:t xml:space="preserve">11.1 投标人应按照招标文件要求提交证明文件，证明其及投标标的符合招标文件规定。</w:t>
      </w:r>
      <w:r>
        <w:rPr>
          <w:rFonts w:hint="eastAsia" w:ascii="宋体" w:hAnsi="宋体"/>
          <w:color w:val="000000"/>
          <w:sz w:val="24"/>
          <w:szCs w:val="24"/>
        </w:rPr>
      </w:r>
      <w:r/>
    </w:p>
    <w:p>
      <w:pPr>
        <w:pStyle w:val="712"/>
        <w:ind w:firstLine="48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12"/>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End w:id="101"/>
      <w:r/>
      <w:bookmarkEnd w:id="102"/>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12"/>
        <w:ind w:firstLine="420"/>
        <w:keepLines/>
        <w:keepNext/>
        <w:spacing w:line="520" w:lineRule="exact"/>
        <w:rPr>
          <w:rFonts w:hint="eastAsia" w:ascii="Arial" w:hAnsi="Arial" w:eastAsia="黑体" w:cs="Arial"/>
          <w:color w:val="000000"/>
          <w:sz w:val="28"/>
          <w:szCs w:val="28"/>
        </w:rPr>
        <w:outlineLvl w:val="3"/>
      </w:pPr>
      <w:r/>
      <w:bookmarkStart w:id="103" w:name="_Hlt26954731"/>
      <w:r/>
      <w:bookmarkEnd w:id="103"/>
      <w:r/>
      <w:bookmarkStart w:id="104" w:name="_Hlt26670482"/>
      <w:r/>
      <w:bookmarkEnd w:id="104"/>
      <w:r/>
      <w:bookmarkStart w:id="105" w:name="_Hlt26954848"/>
      <w:r/>
      <w:bookmarkEnd w:id="105"/>
      <w:r/>
      <w:bookmarkStart w:id="106" w:name="_Hlt26954846"/>
      <w:r/>
      <w:bookmarkEnd w:id="106"/>
      <w:r/>
      <w:bookmarkStart w:id="107" w:name="_Hlt26670486"/>
      <w:r/>
      <w:bookmarkEnd w:id="107"/>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12"/>
        <w:ind w:firstLine="480"/>
        <w:spacing w:line="52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12"/>
        <w:ind w:firstLine="480"/>
        <w:spacing w:line="52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12"/>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712"/>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12"/>
        <w:ind w:firstLine="420"/>
        <w:keepLines/>
        <w:keepNext/>
        <w:spacing w:line="520" w:lineRule="exact"/>
        <w:rPr>
          <w:rFonts w:hint="eastAsia" w:ascii="Arial" w:hAnsi="Arial" w:eastAsia="黑体" w:cs="Arial"/>
          <w:color w:val="000000"/>
          <w:sz w:val="28"/>
          <w:szCs w:val="28"/>
        </w:rPr>
        <w:outlineLvl w:val="3"/>
      </w:pPr>
      <w:r/>
      <w:bookmarkStart w:id="108" w:name="_Toc14577359"/>
      <w:r/>
      <w:bookmarkStart w:id="109" w:name="_Toc49090510"/>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712"/>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12"/>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12"/>
        <w:ind w:firstLine="420"/>
        <w:keepLines/>
        <w:keepNext/>
        <w:spacing w:line="52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16、投标有效期</w:t>
      </w:r>
      <w:bookmarkEnd w:id="110"/>
      <w:r/>
      <w:bookmarkEnd w:id="111"/>
      <w:r>
        <w:rPr>
          <w:rFonts w:hint="eastAsia" w:ascii="Arial"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16.1投标有效期为交易中心规定的开标之日后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12"/>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12" w:name="_Hlt26954739"/>
      <w:r/>
      <w:bookmarkEnd w:id="112"/>
      <w:r/>
      <w:bookmarkStart w:id="113" w:name="_Hlt26954852"/>
      <w:r/>
      <w:bookmarkEnd w:id="113"/>
      <w:r/>
      <w:bookmarkStart w:id="114" w:name="_Toc513029224"/>
      <w:r/>
      <w:bookmarkStart w:id="115" w:name="_Toc120614217"/>
      <w:r/>
      <w:bookmarkStart w:id="116" w:name="_Toc16938540"/>
      <w:r/>
      <w:bookmarkStart w:id="117" w:name="_Toc20823296"/>
      <w:r>
        <w:rPr>
          <w:rFonts w:hint="eastAsia" w:ascii="Times New Roman" w:hAnsi="Times New Roman" w:eastAsia="宋体" w:cs="Times New Roman"/>
          <w:b/>
          <w:bCs/>
          <w:sz w:val="32"/>
          <w:szCs w:val="32"/>
        </w:rPr>
        <w:t xml:space="preserve">四、投标文件的递交</w:t>
      </w:r>
      <w:bookmarkEnd w:id="114"/>
      <w:r/>
      <w:bookmarkEnd w:id="115"/>
      <w:r/>
      <w:bookmarkEnd w:id="116"/>
      <w:r/>
      <w:bookmarkEnd w:id="117"/>
      <w:r>
        <w:rPr>
          <w:rFonts w:hint="eastAsia" w:ascii="Times New Roman" w:hAnsi="Times New Roman" w:eastAsia="宋体" w:cs="Times New Roman"/>
          <w:b/>
          <w:bCs/>
          <w:sz w:val="32"/>
          <w:szCs w:val="32"/>
        </w:rPr>
      </w:r>
      <w:r/>
    </w:p>
    <w:p>
      <w:pPr>
        <w:pStyle w:val="712"/>
        <w:ind w:firstLine="420"/>
        <w:keepLines/>
        <w:keepNext/>
        <w:spacing w:line="520" w:lineRule="exact"/>
        <w:rPr>
          <w:rFonts w:hint="eastAsia" w:ascii="黑体" w:hAnsi="Arial" w:eastAsia="黑体" w:cs="Arial"/>
          <w:color w:val="000000"/>
          <w:sz w:val="28"/>
          <w:szCs w:val="28"/>
        </w:rPr>
        <w:outlineLvl w:val="3"/>
      </w:pPr>
      <w:r/>
      <w:bookmarkStart w:id="118" w:name="_Toc513029225"/>
      <w:r/>
      <w:bookmarkStart w:id="119" w:name="_Toc16938541"/>
      <w:r/>
      <w:bookmarkStart w:id="120" w:name="_Toc20823297"/>
      <w:r/>
      <w:bookmarkStart w:id="121"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12"/>
        <w:ind w:left="0"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2" w:name="_Toc20823298"/>
      <w:r/>
      <w:bookmarkStart w:id="123" w:name="_Toc16938542"/>
      <w:r/>
      <w:bookmarkStart w:id="124" w:name="_Toc513029226"/>
      <w:r>
        <w:rPr>
          <w:rFonts w:ascii="宋体" w:hAnsi="宋体"/>
          <w:bCs/>
          <w:color w:val="000000"/>
          <w:sz w:val="24"/>
          <w:szCs w:val="21"/>
        </w:rPr>
      </w:r>
      <w:r/>
    </w:p>
    <w:p>
      <w:pPr>
        <w:pStyle w:val="712"/>
        <w:ind w:firstLine="420"/>
        <w:keepLines/>
        <w:keepNext/>
        <w:spacing w:line="52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712"/>
        <w:ind w:firstLine="480"/>
        <w:spacing w:line="520" w:lineRule="exact"/>
        <w:rPr>
          <w:rFonts w:hint="eastAsia" w:ascii="宋体" w:hAnsi="宋体"/>
          <w:bCs/>
          <w:color w:val="000000"/>
          <w:sz w:val="24"/>
          <w:szCs w:val="21"/>
          <w:u w:val="single"/>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
          <w:bCs/>
          <w:color w:val="000000"/>
          <w:sz w:val="24"/>
          <w:szCs w:val="21"/>
          <w:u w:val="single"/>
        </w:rPr>
        <w:t xml:space="preserve">投标人上传电子投标文件的时间不得迟于招标公告中规定的投标截止时间。</w:t>
      </w:r>
      <w:r>
        <w:rPr>
          <w:rFonts w:hint="eastAsia" w:ascii="宋体" w:hAnsi="宋体"/>
          <w:bCs/>
          <w:color w:val="000000"/>
          <w:sz w:val="24"/>
          <w:szCs w:val="21"/>
          <w:u w:val="single"/>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12"/>
        <w:ind w:firstLine="420"/>
        <w:keepLines/>
        <w:keepNext/>
        <w:spacing w:line="520" w:lineRule="exact"/>
        <w:rPr>
          <w:rFonts w:hint="eastAsia" w:ascii="Arial" w:hAnsi="Arial" w:eastAsia="黑体" w:cs="Arial"/>
          <w:color w:val="000000"/>
          <w:sz w:val="28"/>
          <w:szCs w:val="28"/>
        </w:rPr>
        <w:outlineLvl w:val="3"/>
      </w:pPr>
      <w:r/>
      <w:bookmarkStart w:id="125" w:name="_Toc513029227"/>
      <w:r/>
      <w:bookmarkStart w:id="126" w:name="_Toc16938543"/>
      <w:r/>
      <w:bookmarkStart w:id="127"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20.1 交易中心拒绝接收在其规定的投标截止时间后上传的任何投标文件。</w:t>
      </w:r>
      <w:r>
        <w:rPr>
          <w:rFonts w:hint="eastAsia" w:ascii="宋体" w:hAnsi="宋体"/>
          <w:bCs/>
          <w:color w:val="000000"/>
          <w:sz w:val="24"/>
          <w:szCs w:val="21"/>
        </w:rPr>
      </w:r>
      <w:r/>
    </w:p>
    <w:p>
      <w:pPr>
        <w:pStyle w:val="712"/>
        <w:ind w:firstLine="420"/>
        <w:keepLines/>
        <w:keepNext/>
        <w:spacing w:line="520" w:lineRule="exact"/>
        <w:rPr>
          <w:rFonts w:hint="eastAsia" w:ascii="Arial" w:hAnsi="Arial" w:eastAsia="黑体" w:cs="Arial"/>
          <w:color w:val="000000"/>
          <w:sz w:val="28"/>
          <w:szCs w:val="28"/>
        </w:rPr>
        <w:outlineLvl w:val="3"/>
      </w:pPr>
      <w:r/>
      <w:bookmarkStart w:id="128" w:name="_Toc20823300"/>
      <w:r/>
      <w:bookmarkStart w:id="129" w:name="_Toc16938544"/>
      <w:r/>
      <w:bookmarkStart w:id="130"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712"/>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12"/>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12"/>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31" w:name="_Toc20823301"/>
      <w:r/>
      <w:bookmarkStart w:id="132" w:name="_Toc16938545"/>
      <w:r/>
      <w:bookmarkStart w:id="133" w:name="_Toc120614218"/>
      <w:r/>
      <w:bookmarkStart w:id="134" w:name="_Toc513029229"/>
      <w:r>
        <w:rPr>
          <w:rFonts w:hint="eastAsia" w:ascii="Times New Roman" w:hAnsi="Times New Roman" w:eastAsia="宋体" w:cs="Times New Roman"/>
          <w:b/>
          <w:bCs/>
          <w:sz w:val="32"/>
          <w:szCs w:val="32"/>
        </w:rPr>
        <w:t xml:space="preserve">五、开标与评标</w:t>
      </w:r>
      <w:bookmarkEnd w:id="131"/>
      <w:r/>
      <w:bookmarkEnd w:id="132"/>
      <w:r/>
      <w:bookmarkEnd w:id="133"/>
      <w:r/>
      <w:bookmarkEnd w:id="134"/>
      <w:r>
        <w:rPr>
          <w:rFonts w:hint="eastAsia" w:ascii="Times New Roman" w:hAnsi="Times New Roman" w:eastAsia="宋体" w:cs="Times New Roman"/>
          <w:b/>
          <w:bCs/>
          <w:sz w:val="32"/>
          <w:szCs w:val="32"/>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35" w:name="_Toc513029230"/>
      <w:r/>
      <w:bookmarkStart w:id="136" w:name="_Toc20823302"/>
      <w:r/>
      <w:bookmarkStart w:id="137" w:name="_Toc16938546"/>
      <w:r>
        <w:rPr>
          <w:rFonts w:hint="eastAsia" w:ascii="Arial" w:hAnsi="Arial" w:eastAsia="黑体" w:cs="Arial"/>
          <w:color w:val="000000"/>
          <w:sz w:val="28"/>
          <w:szCs w:val="28"/>
        </w:rPr>
        <w:t xml:space="preserve">22、开标</w:t>
      </w:r>
      <w:bookmarkEnd w:id="135"/>
      <w:r/>
      <w:bookmarkEnd w:id="136"/>
      <w:r/>
      <w:bookmarkEnd w:id="137"/>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sz w:val="24"/>
          <w:szCs w:val="24"/>
        </w:rPr>
        <w:t xml:space="preserve">苏采云系统规</w:t>
      </w:r>
      <w:r>
        <w:rPr>
          <w:rFonts w:hint="eastAsia" w:ascii="宋体" w:hAnsi="宋体"/>
          <w:color w:val="000000"/>
          <w:sz w:val="24"/>
          <w:szCs w:val="24"/>
        </w:rPr>
        <w:t xml:space="preserve">定的时间内对投标文件进行解密。</w:t>
      </w:r>
      <w:r>
        <w:rPr>
          <w:rFonts w:hint="eastAsia" w:ascii="Times New Roman" w:hAnsi="Times New Roman"/>
          <w:color w:val="000000"/>
          <w:szCs w:val="21"/>
        </w:rPr>
      </w:r>
      <w:r/>
    </w:p>
    <w:p>
      <w:pPr>
        <w:pStyle w:val="712"/>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开标仪式由交易中心组织。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712"/>
        <w:ind w:firstLine="420"/>
        <w:keepLines/>
        <w:keepNext/>
        <w:spacing w:line="520" w:lineRule="exact"/>
        <w:rPr>
          <w:rFonts w:hint="eastAsia" w:ascii="Arial" w:hAnsi="Arial" w:eastAsia="黑体" w:cs="Arial"/>
          <w:color w:val="000000"/>
          <w:sz w:val="28"/>
          <w:szCs w:val="28"/>
        </w:rPr>
        <w:outlineLvl w:val="3"/>
      </w:pPr>
      <w:r/>
      <w:bookmarkStart w:id="138" w:name="_Toc16938547"/>
      <w:r/>
      <w:bookmarkStart w:id="139" w:name="_Toc513029231"/>
      <w:r/>
      <w:bookmarkStart w:id="140"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rPr>
          <w:rFonts w:hint="eastAsia" w:ascii="宋体" w:hAnsi="宋体"/>
          <w:b/>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12"/>
        <w:ind w:firstLine="431"/>
        <w:keepLines/>
        <w:keepNext/>
        <w:pageBreakBefore w:val="0"/>
        <w:spacing w:line="520" w:lineRule="exact"/>
        <w:widowControl w:val="off"/>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szCs w:val="21"/>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交易中心和评标委员会不向未中标的投标人解释未中标原因，也不公布评标过程中的相关细节。</w:t>
      </w:r>
      <w:r>
        <w:rPr>
          <w:rFonts w:hint="eastAsia"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41" w:name="_Toc16938548"/>
      <w:r/>
      <w:bookmarkStart w:id="142" w:name="_Toc20823304"/>
      <w:r/>
      <w:bookmarkStart w:id="143"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ascii="宋体" w:hAnsi="宋体"/>
          <w:color w:val="000000"/>
          <w:sz w:val="24"/>
          <w:szCs w:val="24"/>
        </w:rPr>
      </w:pPr>
      <w:r/>
      <w:bookmarkStart w:id="144" w:name="_Toc513029233"/>
      <w:r/>
      <w:bookmarkStart w:id="145" w:name="_Toc20823305"/>
      <w:r/>
      <w:bookmarkStart w:id="146"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12"/>
        <w:ind w:firstLine="480"/>
        <w:keepLines w:val="0"/>
        <w:keepNext w:val="0"/>
        <w:pageBreakBefore w:val="0"/>
        <w:spacing w:line="520" w:lineRule="exact"/>
        <w:widowControl w:val="off"/>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sz w:val="24"/>
          <w:szCs w:val="24"/>
        </w:rPr>
        <w:t xml:space="preserve">苏采云系统向供应商发出“澄清要求函”，接到“澄清要求函”的投标人应当按照要求在苏采云系统中</w:t>
      </w:r>
      <w:r>
        <w:rPr>
          <w:rFonts w:hint="eastAsia" w:ascii="宋体" w:hAnsi="宋体"/>
          <w:color w:val="000000"/>
          <w:sz w:val="24"/>
          <w:szCs w:val="24"/>
        </w:rPr>
        <w:t xml:space="preserve">提交“澄清响应函”并加盖CA电子公章。澄清、说明和补正的内容作为投标文件的补充部分，具体操作方式见《操作手册》。</w:t>
      </w:r>
      <w:r>
        <w:rPr>
          <w:rFonts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未通过资格审查或符合性审查的投标人，交易中心将在</w:t>
      </w:r>
      <w:r>
        <w:rPr>
          <w:rFonts w:hint="eastAsia" w:ascii="宋体" w:hAnsi="宋体"/>
          <w:sz w:val="24"/>
          <w:szCs w:val="24"/>
        </w:rPr>
        <w:t xml:space="preserve">苏采云系统</w:t>
      </w:r>
      <w:r>
        <w:rPr>
          <w:rFonts w:hint="eastAsia" w:ascii="宋体" w:hAnsi="宋体"/>
          <w:bCs/>
          <w:color w:val="000000"/>
          <w:sz w:val="24"/>
          <w:szCs w:val="21"/>
        </w:rPr>
        <w:t xml:space="preserve">中告知未通过资格审查或符合性审查的原因，评审结束后，交易中心将不再告知未通过资格审查或符合性审查的原因。</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12"/>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12"/>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12"/>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w:t>
      </w:r>
      <w:r>
        <w:rPr>
          <w:rFonts w:ascii="宋体" w:hAnsi="宋体"/>
          <w:bCs/>
          <w:color w:val="000000"/>
          <w:sz w:val="24"/>
          <w:szCs w:val="21"/>
        </w:rPr>
        <w:t xml:space="preserve">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12"/>
        <w:ind w:firstLine="480"/>
        <w:keepLines w:val="0"/>
        <w:keepNext w:val="0"/>
        <w:pageBreakBefore w:val="0"/>
        <w:spacing w:line="520" w:lineRule="exact"/>
        <w:widowControl w:val="off"/>
        <w:rPr>
          <w:rFonts w:ascii="宋体" w:hAnsi="宋体"/>
          <w:color w:val="000000"/>
          <w:sz w:val="24"/>
          <w:szCs w:val="21"/>
        </w:rPr>
      </w:pPr>
      <w:r/>
      <w:bookmarkStart w:id="147" w:name="_Toc20823306"/>
      <w:r/>
      <w:bookmarkStart w:id="148" w:name="_Toc16938550"/>
      <w:r/>
      <w:bookmarkStart w:id="149"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712"/>
        <w:ind w:firstLine="480"/>
        <w:keepLines w:val="0"/>
        <w:keepNext w:val="0"/>
        <w:pageBreakBefore w:val="0"/>
        <w:spacing w:line="520" w:lineRule="exact"/>
        <w:widowControl w:val="off"/>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12"/>
        <w:ind w:firstLine="480"/>
        <w:keepLines w:val="0"/>
        <w:keepNext w:val="0"/>
        <w:pageBreakBefore w:val="0"/>
        <w:spacing w:line="520" w:lineRule="exact"/>
        <w:widowControl w:val="off"/>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12"/>
        <w:ind w:firstLine="480"/>
        <w:keepLines w:val="0"/>
        <w:keepNext w:val="0"/>
        <w:pageBreakBefore w:val="0"/>
        <w:spacing w:line="520" w:lineRule="exact"/>
        <w:widowControl w:val="off"/>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w:t>
      </w:r>
      <w:r>
        <w:rPr>
          <w:rFonts w:hint="eastAsia" w:ascii="宋体" w:hAnsi="宋体"/>
          <w:color w:val="000000"/>
          <w:sz w:val="24"/>
          <w:szCs w:val="21"/>
        </w:rPr>
        <w:t xml:space="preserve">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并安排专人与交易中心及评标委员会联系。</w:t>
      </w:r>
      <w:r>
        <w:rPr>
          <w:rFonts w:hint="eastAsia" w:ascii="宋体" w:hAnsi="宋体"/>
          <w:color w:val="000000"/>
          <w:sz w:val="24"/>
          <w:szCs w:val="21"/>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7"/>
      <w:r/>
      <w:bookmarkEnd w:id="148"/>
      <w:r/>
      <w:bookmarkEnd w:id="149"/>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bookmarkStart w:id="150" w:name="_Toc16938551"/>
      <w:r/>
      <w:bookmarkStart w:id="151" w:name="_Toc513029235"/>
      <w:r/>
      <w:bookmarkStart w:id="152"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w:t>
      </w:r>
      <w:r>
        <w:rPr>
          <w:rFonts w:hint="eastAsia" w:ascii="宋体" w:hAnsi="宋体"/>
          <w:bCs/>
          <w:color w:val="000000"/>
          <w:sz w:val="24"/>
          <w:szCs w:val="21"/>
        </w:rPr>
        <w:t xml:space="preserve">定的时间内未成功解密电子投标文件的。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12"/>
        <w:ind w:left="0" w:firstLine="480"/>
        <w:keepLines w:val="0"/>
        <w:keepNext w:val="0"/>
        <w:pageBreakBefore w:val="0"/>
        <w:spacing w:line="52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w:t>
      </w:r>
      <w:r>
        <w:rPr>
          <w:rFonts w:hint="eastAsia" w:ascii="宋体" w:hAnsi="宋体"/>
          <w:bCs/>
          <w:color w:val="000000"/>
          <w:sz w:val="24"/>
          <w:szCs w:val="21"/>
        </w:rPr>
        <w:t xml:space="preserve">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712"/>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53" w:name="_Toc120614219"/>
      <w:r>
        <w:rPr>
          <w:rFonts w:hint="eastAsia" w:ascii="Times New Roman" w:hAnsi="Times New Roman" w:eastAsia="宋体" w:cs="Times New Roman"/>
          <w:b/>
          <w:bCs/>
          <w:sz w:val="32"/>
          <w:szCs w:val="32"/>
        </w:rPr>
        <w:t xml:space="preserve">六、</w:t>
      </w:r>
      <w:bookmarkEnd w:id="150"/>
      <w:r/>
      <w:bookmarkEnd w:id="151"/>
      <w:r/>
      <w:bookmarkEnd w:id="152"/>
      <w:r>
        <w:rPr>
          <w:rFonts w:hint="eastAsia" w:ascii="Times New Roman" w:hAnsi="Times New Roman" w:eastAsia="宋体" w:cs="Times New Roman"/>
          <w:b/>
          <w:bCs/>
          <w:sz w:val="32"/>
          <w:szCs w:val="32"/>
        </w:rPr>
        <w:t xml:space="preserve">定标</w:t>
      </w:r>
      <w:bookmarkEnd w:id="153"/>
      <w:r>
        <w:rPr>
          <w:rFonts w:hint="eastAsia" w:ascii="Times New Roman" w:hAnsi="Times New Roman" w:eastAsia="宋体" w:cs="Times New Roman"/>
          <w:b/>
          <w:bCs/>
          <w:sz w:val="32"/>
          <w:szCs w:val="32"/>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54" w:name="_Toc513029238"/>
      <w:r/>
      <w:bookmarkStart w:id="155" w:name="_Toc16938554"/>
      <w:r/>
      <w:bookmarkStart w:id="156" w:name="_Toc20823310"/>
      <w:r>
        <w:rPr>
          <w:rFonts w:hint="eastAsia" w:ascii="Arial" w:hAnsi="Arial" w:eastAsia="黑体" w:cs="Arial"/>
          <w:color w:val="000000"/>
          <w:sz w:val="28"/>
          <w:szCs w:val="28"/>
        </w:rPr>
        <w:t xml:space="preserve">28、</w:t>
      </w:r>
      <w:bookmarkEnd w:id="154"/>
      <w:r>
        <w:rPr>
          <w:rFonts w:hint="eastAsia" w:ascii="Arial" w:hAnsi="Arial" w:eastAsia="黑体" w:cs="Arial"/>
          <w:color w:val="000000"/>
          <w:sz w:val="28"/>
          <w:szCs w:val="28"/>
        </w:rPr>
        <w:t xml:space="preserve">确定</w:t>
      </w:r>
      <w:bookmarkEnd w:id="155"/>
      <w:r/>
      <w:bookmarkEnd w:id="156"/>
      <w:r>
        <w:rPr>
          <w:rFonts w:hint="eastAsia" w:ascii="Arial" w:hAnsi="Arial" w:eastAsia="黑体" w:cs="Arial"/>
          <w:color w:val="000000"/>
          <w:sz w:val="28"/>
          <w:szCs w:val="28"/>
        </w:rPr>
        <w:t xml:space="preserve">中标单位</w:t>
      </w:r>
      <w:r>
        <w:rPr>
          <w:rFonts w:hint="eastAsia" w:ascii="Arial" w:hAnsi="Arial" w:eastAsia="黑体" w:cs="Arial"/>
          <w:color w:val="000000"/>
          <w:sz w:val="28"/>
          <w:szCs w:val="28"/>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ascii="宋体" w:hAnsi="宋体"/>
          <w:bCs/>
          <w:color w:val="000000"/>
          <w:sz w:val="24"/>
          <w:szCs w:val="21"/>
        </w:rPr>
        <w:t xml:space="preserve">。</w:t>
      </w:r>
      <w:r>
        <w:rPr>
          <w:rFonts w:hint="eastAsia" w:ascii="宋体" w:hAnsi="宋体"/>
          <w:bCs/>
          <w:color w:val="000000"/>
          <w:sz w:val="24"/>
          <w:szCs w:val="21"/>
        </w:rPr>
      </w:r>
      <w:r/>
    </w:p>
    <w:p>
      <w:pPr>
        <w:pStyle w:val="712"/>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.4.2向采购人、交易中心行贿或者提供其他不正当利益的。</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712"/>
        <w:ind w:firstLine="480"/>
        <w:spacing w:line="520" w:lineRule="exact"/>
        <w:rPr>
          <w:rFonts w:ascii="宋体" w:hAnsi="宋体"/>
          <w:color w:val="000000"/>
          <w:sz w:val="24"/>
          <w:szCs w:val="24"/>
        </w:rPr>
      </w:pPr>
      <w:r/>
      <w:bookmarkStart w:id="157"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hint="eastAsia" w:ascii="宋体" w:hAnsi="宋体"/>
          <w:color w:val="000000"/>
          <w:sz w:val="24"/>
          <w:szCs w:val="24"/>
        </w:rPr>
      </w:r>
      <w:r/>
    </w:p>
    <w:p>
      <w:pPr>
        <w:pStyle w:val="712"/>
        <w:ind w:firstLine="480"/>
        <w:spacing w:line="520" w:lineRule="exact"/>
        <w:rPr>
          <w:rFonts w:ascii="宋体" w:hAnsi="宋体"/>
          <w:color w:val="000000"/>
          <w:sz w:val="24"/>
          <w:szCs w:val="24"/>
        </w:rPr>
      </w:pPr>
      <w:r>
        <w:rPr>
          <w:rFonts w:hint="eastAsia" w:ascii="宋体" w:hAnsi="宋体"/>
          <w:color w:val="000000"/>
          <w:sz w:val="24"/>
          <w:szCs w:val="24"/>
        </w:rPr>
        <w:t xml:space="preserve">28.5.5不同投标人的投标文件相互混装。</w:t>
      </w:r>
      <w:r>
        <w:rPr>
          <w:rFonts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29、质疑处理</w:t>
      </w:r>
      <w:bookmarkEnd w:id="157"/>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r>
      <w:r/>
    </w:p>
    <w:p>
      <w:pPr>
        <w:pStyle w:val="712"/>
        <w:ind w:firstLine="480"/>
        <w:keepLines w:val="0"/>
        <w:keepNext w:val="0"/>
        <w:pageBreakBefore w:val="0"/>
        <w:spacing w:line="520" w:lineRule="exact"/>
        <w:widowControl w:val="off"/>
        <w:rPr>
          <w:rFonts w:hint="eastAsia" w:ascii="Times New Roman" w:hAnsi="宋体" w:cs="宋体"/>
          <w:color w:val="000000"/>
          <w:sz w:val="24"/>
          <w:szCs w:val="24"/>
        </w:rPr>
      </w:pPr>
      <w:r>
        <w:rPr>
          <w:rFonts w:hint="eastAsia" w:ascii="宋体" w:hAnsi="宋体"/>
          <w:color w:val="000000"/>
          <w:sz w:val="24"/>
          <w:szCs w:val="24"/>
        </w:rPr>
        <w:t xml:space="preserve">29.2.3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712"/>
        <w:ind w:firstLine="480"/>
        <w:keepLines w:val="0"/>
        <w:keepNext w:val="0"/>
        <w:pageBreakBefore w:val="0"/>
        <w:spacing w:line="520" w:lineRule="exact"/>
        <w:widowControl w:val="off"/>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ascii="宋体" w:hAnsi="宋体"/>
          <w:b/>
          <w:color w:val="000000"/>
          <w:sz w:val="24"/>
          <w:szCs w:val="24"/>
        </w:rPr>
      </w:pPr>
      <w:r>
        <w:rPr>
          <w:rFonts w:hint="eastAsia" w:ascii="宋体" w:hAnsi="宋体"/>
          <w:color w:val="000000"/>
          <w:sz w:val="24"/>
          <w:szCs w:val="24"/>
        </w:rPr>
        <w:t xml:space="preserve">29.4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rFonts w:ascii="宋体" w:hAnsi="宋体"/>
          <w:b/>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采购人质疑接收联系人为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bidi="ar-SA"/>
        </w:rPr>
        <w:t xml:space="preserve">金春明</w:t>
      </w:r>
      <w:r>
        <w:rPr>
          <w:rFonts w:hint="eastAsia" w:ascii="宋体" w:hAnsi="宋体"/>
          <w:color w:val="000000"/>
          <w:sz w:val="24"/>
          <w:szCs w:val="24"/>
          <w:u w:val="single"/>
        </w:rPr>
        <w:t xml:space="preserve"> </w:t>
      </w:r>
      <w:r>
        <w:rPr>
          <w:rFonts w:hint="eastAsia" w:ascii="宋体" w:hAnsi="宋体"/>
          <w:color w:val="000000"/>
          <w:sz w:val="24"/>
          <w:szCs w:val="24"/>
        </w:rPr>
        <w:t xml:space="preserve">，联系地址：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bidi="ar-SA"/>
        </w:rPr>
        <w:t xml:space="preserve">海安市黄海大道西3号</w:t>
      </w:r>
      <w:r>
        <w:rPr>
          <w:rFonts w:hint="eastAsia" w:ascii="宋体" w:hAnsi="宋体"/>
          <w:color w:val="000000"/>
          <w:sz w:val="24"/>
          <w:szCs w:val="24"/>
          <w:u w:val="single"/>
        </w:rPr>
        <w:t xml:space="preserve">  </w:t>
      </w:r>
      <w:r>
        <w:rPr>
          <w:rFonts w:hint="eastAsia" w:ascii="宋体" w:hAnsi="宋体"/>
          <w:color w:val="000000"/>
          <w:sz w:val="24"/>
          <w:szCs w:val="24"/>
        </w:rPr>
        <w:t xml:space="preserve">，联系电话：</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bidi="ar-SA"/>
        </w:rPr>
        <w:t xml:space="preserve">18015903335</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.5.3以传真、电子邮件等方式递交的非原件形式的质疑。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.5.4未参加投标活动的供应商或在投标活动中自身权益未受到损害的供应商所提出的质疑。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30、中标通知书</w:t>
      </w:r>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.l中标结果确定后，交易中心将向中标人发出中标通知书。请中标人在中标结果公告届满之日起30日内,使用CA数字证书登录</w:t>
      </w:r>
      <w:r>
        <w:rPr>
          <w:rFonts w:hint="eastAsia" w:ascii="宋体" w:hAnsi="宋体"/>
          <w:sz w:val="24"/>
          <w:szCs w:val="24"/>
        </w:rPr>
        <w:t xml:space="preserve">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12"/>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58" w:name="_Toc120614220"/>
      <w:r/>
      <w:bookmarkStart w:id="159" w:name="_Toc16938552"/>
      <w:r/>
      <w:bookmarkStart w:id="160" w:name="_Toc20823308"/>
      <w:r/>
      <w:bookmarkStart w:id="161" w:name="_Toc513029236"/>
      <w:r>
        <w:rPr>
          <w:rFonts w:hint="eastAsia" w:ascii="Times New Roman" w:hAnsi="Times New Roman" w:eastAsia="宋体" w:cs="Times New Roman"/>
          <w:b/>
          <w:bCs/>
          <w:sz w:val="32"/>
          <w:szCs w:val="32"/>
        </w:rPr>
        <w:t xml:space="preserve">七、授予合同</w:t>
      </w:r>
      <w:bookmarkEnd w:id="158"/>
      <w:r>
        <w:rPr>
          <w:rFonts w:hint="eastAsia" w:ascii="Times New Roman" w:hAnsi="Times New Roman" w:eastAsia="宋体" w:cs="Times New Roman"/>
          <w:b/>
          <w:bCs/>
          <w:sz w:val="32"/>
          <w:szCs w:val="32"/>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bookmarkEnd w:id="159"/>
      <w:r/>
      <w:bookmarkEnd w:id="160"/>
      <w:r/>
      <w:bookmarkEnd w:id="161"/>
      <w:r/>
      <w:bookmarkStart w:id="162" w:name="_Toc16938553"/>
      <w:r/>
      <w:bookmarkStart w:id="163" w:name="_Toc513029237"/>
      <w:r/>
      <w:bookmarkStart w:id="164" w:name="_Toc20823309"/>
      <w:r>
        <w:rPr>
          <w:rFonts w:hint="eastAsia" w:ascii="Arial" w:hAnsi="Arial" w:eastAsia="黑体" w:cs="Arial"/>
          <w:color w:val="000000"/>
          <w:sz w:val="28"/>
          <w:szCs w:val="28"/>
        </w:rPr>
        <w:t xml:space="preserve">31、签订合同</w:t>
      </w:r>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b/>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32、货物（包含与货物相关的服务）的追加</w:t>
      </w:r>
      <w:r>
        <w:rPr>
          <w:rFonts w:hint="eastAsia" w:ascii="Arial" w:hAnsi="Arial" w:eastAsia="黑体" w:cs="Arial"/>
          <w:color w:val="000000"/>
          <w:sz w:val="28"/>
          <w:szCs w:val="28"/>
        </w:rPr>
      </w:r>
      <w:r/>
    </w:p>
    <w:p>
      <w:pPr>
        <w:pStyle w:val="712"/>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12"/>
        <w:ind w:firstLine="431"/>
        <w:keepLines/>
        <w:keepNext/>
        <w:pageBreakBefore w:val="0"/>
        <w:spacing w:line="520" w:lineRule="exact"/>
        <w:widowControl w:val="off"/>
        <w:rPr>
          <w:rFonts w:hint="eastAsia" w:ascii="Arial" w:hAnsi="Arial" w:eastAsia="黑体" w:cs="Arial"/>
          <w:color w:val="000000"/>
          <w:sz w:val="28"/>
          <w:szCs w:val="28"/>
        </w:rPr>
        <w:outlineLvl w:val="3"/>
      </w:pPr>
      <w:r/>
      <w:bookmarkEnd w:id="162"/>
      <w:r/>
      <w:bookmarkEnd w:id="163"/>
      <w:r/>
      <w:bookmarkEnd w:id="164"/>
      <w:r/>
      <w:bookmarkStart w:id="165" w:name="_Toc479757207"/>
      <w:r/>
      <w:bookmarkStart w:id="166" w:name="_Toc20823314"/>
      <w:r/>
      <w:bookmarkStart w:id="167" w:name="_Toc16938558"/>
      <w:r/>
      <w:bookmarkStart w:id="168" w:name="_Toc513029242"/>
      <w:r/>
      <w:bookmarkStart w:id="169" w:name="_Toc120614221"/>
      <w:r>
        <w:rPr>
          <w:rFonts w:hint="eastAsia" w:ascii="Arial" w:hAnsi="Arial" w:eastAsia="黑体" w:cs="Arial"/>
          <w:color w:val="000000"/>
          <w:sz w:val="28"/>
          <w:szCs w:val="28"/>
        </w:rPr>
        <w:t xml:space="preserve">33、政府采购履约资金扶持政策</w:t>
      </w:r>
      <w:r>
        <w:rPr>
          <w:rFonts w:hint="eastAsia" w:ascii="Arial" w:hAnsi="Arial" w:eastAsia="黑体" w:cs="Arial"/>
          <w:color w:val="000000"/>
          <w:sz w:val="28"/>
          <w:szCs w:val="28"/>
        </w:rPr>
      </w:r>
      <w:r/>
    </w:p>
    <w:p>
      <w:pPr>
        <w:pStyle w:val="712"/>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712"/>
        <w:jc w:val="center"/>
        <w:spacing w:line="560" w:lineRule="exact"/>
        <w:rPr>
          <w:rFonts w:hint="eastAsia" w:ascii="宋体" w:hAnsi="宋体" w:cs="Courier New"/>
          <w:color w:val="000000"/>
          <w:sz w:val="24"/>
          <w:szCs w:val="24"/>
        </w:rPr>
      </w:pPr>
      <w:r/>
      <w:bookmarkEnd w:id="165"/>
      <w:r/>
      <w:bookmarkEnd w:id="166"/>
      <w:r/>
      <w:bookmarkEnd w:id="167"/>
      <w:r/>
      <w:bookmarkEnd w:id="168"/>
      <w:r/>
      <w:bookmarkEnd w:id="169"/>
      <w:r/>
      <w:bookmarkStart w:id="170" w:name="_Hlt16619369"/>
      <w:r/>
      <w:bookmarkEnd w:id="170"/>
      <w:r/>
      <w:bookmarkStart w:id="171" w:name="_Hlt16619350"/>
      <w:r/>
      <w:bookmarkStart w:id="172" w:name="_Toc120614244"/>
      <w:r/>
      <w:bookmarkStart w:id="173" w:name="_Toc16938590"/>
      <w:r/>
      <w:bookmarkStart w:id="174" w:name="_Toc20823346"/>
      <w:r/>
      <w:bookmarkStart w:id="175" w:name="_Toc479757211"/>
      <w:r/>
      <w:bookmarkStart w:id="176" w:name="_Toc462564139"/>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1"/>
      <w:r>
        <w:rPr>
          <w:rFonts w:hint="eastAsia" w:ascii="黑体" w:hAnsi="Courier New" w:eastAsia="黑体" w:cs="Courier New"/>
          <w:bCs/>
          <w:color w:val="000000"/>
          <w:sz w:val="44"/>
          <w:szCs w:val="21"/>
        </w:rPr>
        <w:t xml:space="preserve">三章 采购需求</w:t>
      </w:r>
      <w:bookmarkEnd w:id="172"/>
      <w:r/>
      <w:bookmarkEnd w:id="173"/>
      <w:r/>
      <w:bookmarkEnd w:id="174"/>
      <w:r>
        <w:rPr>
          <w:rFonts w:hint="eastAsia" w:ascii="宋体" w:hAnsi="宋体" w:cs="Courier New"/>
          <w:color w:val="000000"/>
          <w:sz w:val="24"/>
          <w:szCs w:val="24"/>
        </w:rPr>
      </w:r>
      <w:r/>
    </w:p>
    <w:p>
      <w:pPr>
        <w:pStyle w:val="712"/>
        <w:ind w:firstLine="480"/>
        <w:keepLines w:val="0"/>
        <w:keepNext w:val="0"/>
        <w:pageBreakBefore w:val="0"/>
        <w:spacing w:line="520" w:lineRule="exact"/>
        <w:widowControl w:val="off"/>
        <w:rPr>
          <w:rFonts w:hint="eastAsia" w:ascii="宋体" w:hAnsi="宋体"/>
          <w:color w:val="000000"/>
          <w:sz w:val="24"/>
          <w:szCs w:val="24"/>
        </w:rPr>
      </w:pPr>
      <w:r/>
      <w:bookmarkStart w:id="177" w:name="_Toc26554093"/>
      <w:r/>
      <w:bookmarkStart w:id="178" w:name="_Toc49090575"/>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712"/>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712"/>
        <w:numPr>
          <w:ilvl w:val="0"/>
          <w:numId w:val="0"/>
        </w:numPr>
        <w:ind w:firstLine="482"/>
        <w:keepLines w:val="0"/>
        <w:keepNext w:val="0"/>
        <w:pageBreakBefore w:val="0"/>
        <w:spacing w:line="520" w:lineRule="exact"/>
        <w:widowControl w:val="off"/>
        <w:rPr>
          <w:rFonts w:hint="eastAsia" w:ascii="宋体" w:hAnsi="宋体"/>
          <w:b/>
          <w:bCs/>
          <w:color w:val="000000"/>
          <w:sz w:val="24"/>
          <w:szCs w:val="24"/>
        </w:rPr>
      </w:pPr>
      <w:r>
        <w:rPr>
          <w:rFonts w:hint="eastAsia" w:ascii="宋体" w:hAnsi="宋体"/>
          <w:b/>
          <w:bCs/>
          <w:color w:val="000000"/>
          <w:sz w:val="24"/>
          <w:szCs w:val="24"/>
          <w:lang w:val="en-US" w:eastAsia="zh-CN" w:bidi="ar-SA"/>
        </w:rPr>
        <w:t xml:space="preserve">一、</w:t>
      </w:r>
      <w:r>
        <w:rPr>
          <w:rFonts w:hint="eastAsia" w:ascii="宋体" w:hAnsi="宋体"/>
          <w:b/>
          <w:bCs/>
          <w:color w:val="000000"/>
          <w:sz w:val="24"/>
          <w:szCs w:val="24"/>
        </w:rPr>
        <w:t xml:space="preserve">技术要求是指对采购标的功能和质量要求，包括性能、材料、结构、外观、安全，或者服务内容和标准等。</w:t>
      </w:r>
      <w:r>
        <w:rPr>
          <w:rFonts w:hint="eastAsia" w:ascii="宋体" w:hAnsi="宋体"/>
          <w:b/>
          <w:bCs/>
          <w:color w:val="000000"/>
          <w:sz w:val="24"/>
          <w:szCs w:val="24"/>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（一）总体要求</w:t>
      </w:r>
      <w:r>
        <w:rPr>
          <w:rFonts w:hint="eastAsia" w:ascii="宋体" w:hAnsi="宋体" w:eastAsia="宋体" w:cs="宋体"/>
          <w:b/>
          <w:bCs w:val="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1.项目背景</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为进一步提升校园安全风险防控能力，根据中共江苏省委政法委员会、江苏省公安</w:t>
      </w:r>
      <w:r>
        <w:rPr>
          <w:rFonts w:hint="eastAsia" w:ascii="宋体" w:hAnsi="宋体" w:eastAsia="宋体" w:cs="宋体"/>
          <w:b w:val="0"/>
          <w:bCs/>
          <w:sz w:val="24"/>
          <w:szCs w:val="24"/>
          <w:highlight w:val="none"/>
          <w:lang w:val="en-US" w:eastAsia="zh-CN"/>
        </w:rPr>
        <w:t xml:space="preserve">厅、江苏省科技厅《关于印发〈全省“智慧技防小区”和“智慧技防校园”建设规范〉的通知》（苏公通〔2019〕330号）和中共南通市委政法委员会、南通市教育局、南通市公安局、南通市科学技术局《关于加强南通市中小学幼儿园智慧安防建设的实施意见》（通委政发〔2020〕83号）等文件要求，海安市教育体育局进一步深化全市中小学幼儿园智慧安防建设，运用周界越界告警、异常密度分析、异常行为分析等现代智慧安防技术，实现对校园及周边区域各类治安要素和安全风险隐患的智慧动态感知、智能预警研判，为平安校园建设提供科技支撑和有力保障。</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2.架构设计</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为提升海安市校园安全防范水平与管理效率，推动智慧安</w:t>
      </w:r>
      <w:r>
        <w:rPr>
          <w:rFonts w:hint="eastAsia" w:ascii="宋体" w:hAnsi="宋体" w:eastAsia="宋体" w:cs="宋体"/>
          <w:b w:val="0"/>
          <w:bCs/>
          <w:sz w:val="24"/>
          <w:szCs w:val="24"/>
          <w:highlight w:val="none"/>
          <w:lang w:val="en-US" w:eastAsia="zh-CN"/>
        </w:rPr>
        <w:t xml:space="preserve">防校园建设，海安市教育体育局拟实施智慧安防校园项目，建设海安市智慧安防校园管理平台。根据录像机和服务器配置，平台具备2万路接入能力，新增视频监控图像保存时间不少于90日。平台需收编全市学校（含民办）前期已建设的监控设施（含正在建设的实验中学），约13500路摄像头，同时新采购监控设备与后端AI分析技术，实现对前期学校部分点位的补盲以及新增点位的AI分析功能。后台AI抽帧分析联合前端摄像机识别，第一时间在风险位置播报告警信息，同时信息第一时间推送到学校相关安保负责人和教体局安防指挥中心，及时响应处理形成闭环。</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 xml:space="preserve">另外，为避免重复建设造成的浪费，对旧监控设备进行AI赋能的方式实现智慧预警，构建“事前预防、事中处置、事后追溯”的智能化安全管理体系。</w:t>
      </w:r>
      <w:r>
        <w:rPr>
          <w:rFonts w:hint="eastAsia" w:ascii="宋体" w:hAnsi="宋体" w:eastAsia="宋体" w:cs="宋体"/>
          <w:b/>
          <w:sz w:val="24"/>
          <w:szCs w:val="24"/>
          <w:highlight w:val="none"/>
          <w:lang w:val="en-US" w:eastAsia="zh-CN"/>
        </w:rPr>
      </w:r>
      <w:r/>
    </w:p>
    <w:p>
      <w:pPr>
        <w:pStyle w:val="712"/>
        <w:ind w:firstLine="480"/>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总体架构</w:t>
      </w:r>
      <w:r>
        <w:rPr>
          <w:rFonts w:hint="eastAsia" w:ascii="宋体" w:hAnsi="宋体" w:eastAsia="宋体" w:cs="宋体"/>
          <w:b w:val="0"/>
          <w:bCs/>
          <w:sz w:val="24"/>
          <w:szCs w:val="24"/>
          <w:highlight w:val="none"/>
          <w:lang w:val="en-US" w:eastAsia="zh-CN"/>
        </w:rPr>
      </w:r>
      <w:r/>
    </w:p>
    <w:p>
      <w:pPr>
        <w:pStyle w:val="712"/>
        <w:numPr>
          <w:ilvl w:val="0"/>
          <w:numId w:val="0"/>
        </w:numPr>
        <w:spacing w:line="560" w:lineRule="exact"/>
        <w:rPr>
          <w:rFonts w:hint="eastAsia" w:ascii="宋体" w:hAnsi="宋体"/>
          <w:b/>
          <w:bCs/>
          <w:color w:val="000000"/>
          <w:sz w:val="24"/>
          <w:szCs w:val="24"/>
        </w:rPr>
      </w:pPr>
      <w:r>
        <w:rPr>
          <w:rFonts w:hint="eastAsia" w:ascii="仿宋" w:hAnsi="仿宋" w:eastAsia="仿宋" w:cs="仿宋"/>
          <w:b/>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68580</wp:posOffset>
                </wp:positionV>
                <wp:extent cx="5264150" cy="23920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4150" cy="2392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7.5pt;mso-position-horizontal:absolute;mso-position-vertical-relative:text;margin-top:5.4pt;mso-position-vertical:absolute;width:414.5pt;height:188.3pt;mso-wrap-distance-left:9.0pt;mso-wrap-distance-top:0.0pt;mso-wrap-distance-right:9.0pt;mso-wrap-distance-bottom:0.0pt;" stroked="f">
                <v:path textboxrect="0,0,0,0"/>
                <v:imagedata r:id="rId13" o:title=""/>
              </v:shape>
            </w:pict>
          </mc:Fallback>
        </mc:AlternateContent>
      </w:r>
      <w:r>
        <w:rPr>
          <w:rFonts w:hint="eastAsia" w:ascii="宋体" w:hAnsi="宋体"/>
          <w:b/>
          <w:bCs/>
          <w:color w:val="000000"/>
          <w:sz w:val="24"/>
          <w:szCs w:val="24"/>
        </w:rPr>
      </w:r>
      <w:r/>
    </w:p>
    <w:p>
      <w:pPr>
        <w:pStyle w:val="712"/>
        <w:numPr>
          <w:ilvl w:val="0"/>
          <w:numId w:val="0"/>
        </w:numPr>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接入层：前端已建或新建设备，包括高清摄像机、NVR硬盘录像机及第三方视频平台。以设备为单位的接入汇聚需要考虑前端实施成本，即需要施工人员前往每个设备所在地进行接入操作。</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网络层：根据设备及平台部署网络环境确定组网，通过网络传输实现平台与设备互联。</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平台层：平台提供实时视频、历史视频、电子地图、设备对接、设备管理、视图库管理、数据驾驶舱、算法仓库、算力管理、任务中心、告警中心、配置中心、节点管理、客户管理、开发API接口、服务监控和系统管理等功能。</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展现层：可以通过电脑端、指挥中心大屏查看实时视频与调阅历史录像。</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3.资源数据共享与安全合规要求</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项目须选用符合国家相关标准的国产化软硬件并保障兼容性，满足 GB/T 35114-2023《信息安全技术 网络安全等级保护基本要求》中A级标准，满足网络安全等级保护第三级‌要求；监控系统需满足设备统一校时，并与海安市“雪亮工程”平台深度对接；教育网边界需划分网络区域、管控数据访问权限，防范外部攻击与数据泄露；点位设置要满足《公共安全视频图像信息系统管理条例》（国务院令第799号）要求，所采集视频须添加水印，确保个人生物信息管理合规安全。</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（二）建设内容</w:t>
      </w:r>
      <w:r>
        <w:rPr>
          <w:rFonts w:hint="eastAsia" w:ascii="宋体" w:hAnsi="宋体" w:eastAsia="宋体" w:cs="宋体"/>
          <w:b/>
          <w:bCs w:val="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1.补充或更换网络红外枪机</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21所学校补充或更换国标网络红外枪机，共计816台。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2.双目结构化摄像机</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在校园内新增双目结构化摄像机，可提取面部特征并与预设数据库比对，快速识别外来无关人员、可疑人员或有安全风险记录的人员，及时触发预警，协助安保人员提前干预，减少外来人员闯入、滋扰等安全隐患，共计37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3.围墙入侵联动告警</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37所学校新增智能网络摄像机，实现围墙入侵现场音柱告警提示等功能，规划采用摄像机，转事后回溯为事前预防，杜绝各种潜在威胁校园安全的情况发生，共计488台。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4.防坠楼、防越界感应告警</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新增国标智能网络摄像机，借助前端越界侦测算法，可对阳台、天台、河坡边缘等易发生坠楼或越界风险的区域进行持续智能监测。当识别到人员靠近危险边界、存在坠楼倾向或即将实施越界行为时，算法会迅速触发联动机制，立即启动现场音柱报警，同步将报警信息推送至安全管理人员和管理终端，实现从风险识别到报警响应的秒级衔接，共计264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5.异常行为分析告警</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34所学校周边接送学生的重点位置和校内重点部位新增国标网络枪机，依托平台的人员持刀、打架斗殴等专项监测算法，可对监控区域内的危险及违规行为进行智能识别。当算法精准捕捉到人员持刀、参与打架斗殴等异常行为时，告警信息同步推送至管理平台，通过醒目的弹窗、声音提示等方式提醒后台管理和安保部门人员及时关注，确保相关人员第一时间知晓并介入处理，共计256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6.异常密度分析告警</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所学校在教学楼楼梯、走廊等瞬间人流密度大的部位新增国标网络枪机（亦可利用原有探头）。基于前端人员聚集算法，当识别到区域内人员数量超出预设阈值、出现过度集中的情况时，会立即触发联动报警机制：一方面启动现场声音报警设备发出警示音，提醒现场人员分散；另一方面同步将报警信息推送至管理平台和相关责任人，确保管理人员第一时间掌握情况。整个过程实现实时侦测与秒级响应，从人员过度聚集现象出现到报警动作触发的间隔控制在秒级，能快速介入并疏导密集人群，有效预防踩踏、拥挤等安全事故，共计248台。</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7.访客系统</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5所学校门卫室新安装访客登记系统，配备人证查验设备，实现外来人员进出校园全部留痕。</w:t>
      </w:r>
      <w:r>
        <w:rPr>
          <w:rFonts w:hint="eastAsia" w:ascii="宋体" w:hAnsi="宋体" w:eastAsia="宋体" w:cs="宋体"/>
          <w:b w:val="0"/>
          <w:bCs/>
          <w:sz w:val="24"/>
          <w:szCs w:val="24"/>
          <w:highlight w:val="none"/>
          <w:lang w:val="en-US" w:eastAsia="zh-CN"/>
        </w:rPr>
      </w:r>
      <w:r/>
    </w:p>
    <w:p>
      <w:pPr>
        <w:pStyle w:val="712"/>
        <w:jc w:val="center"/>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项目实施学校规划表</w:t>
      </w:r>
      <w:r>
        <w:rPr>
          <w:rFonts w:hint="eastAsia" w:ascii="宋体" w:hAnsi="宋体" w:eastAsia="宋体" w:cs="宋体"/>
          <w:b w:val="0"/>
          <w:bCs/>
          <w:sz w:val="24"/>
          <w:szCs w:val="24"/>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908"/>
        <w:gridCol w:w="840"/>
        <w:gridCol w:w="910"/>
        <w:gridCol w:w="960"/>
        <w:gridCol w:w="990"/>
        <w:gridCol w:w="980"/>
        <w:gridCol w:w="950"/>
        <w:gridCol w:w="860"/>
      </w:tblGrid>
      <w:tr>
        <w:trPr>
          <w:trHeight w:val="1220"/>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网络红外枪机</w:t>
            </w:r>
            <w:r>
              <w:rPr>
                <w:rFonts w:hint="eastAsia" w:ascii="宋体" w:hAnsi="宋体" w:eastAsia="宋体" w:cs="宋体"/>
                <w:b w:val="0"/>
                <w:bCs/>
                <w:sz w:val="21"/>
                <w:szCs w:val="21"/>
                <w:highlight w:val="none"/>
                <w:lang w:val="en-US" w:eastAsia="zh-CN"/>
              </w:rPr>
            </w:r>
            <w:r/>
          </w:p>
          <w:p>
            <w:pPr>
              <w:pStyle w:val="712"/>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（台）</w:t>
            </w:r>
            <w:r>
              <w:rPr>
                <w:rFonts w:hint="eastAsia" w:ascii="宋体" w:hAnsi="宋体" w:eastAsia="宋体" w:cs="宋体"/>
                <w:b w:val="0"/>
                <w:bCs/>
                <w:sz w:val="21"/>
                <w:szCs w:val="21"/>
                <w:highlight w:val="none"/>
                <w:lang w:val="en-US" w:eastAsia="zh-CN"/>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双目结构化摄像机</w:t>
            </w:r>
            <w:r>
              <w:rPr>
                <w:rFonts w:hint="eastAsia" w:ascii="宋体" w:hAnsi="宋体" w:eastAsia="宋体" w:cs="宋体"/>
                <w:b w:val="0"/>
                <w:bCs/>
                <w:sz w:val="21"/>
                <w:szCs w:val="21"/>
                <w:highlight w:val="none"/>
                <w:lang w:val="en-US" w:eastAsia="zh-CN"/>
              </w:rPr>
            </w:r>
            <w:r/>
          </w:p>
          <w:p>
            <w:pPr>
              <w:pStyle w:val="712"/>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（台）</w:t>
            </w:r>
            <w:r>
              <w:rPr>
                <w:rFonts w:hint="eastAsia" w:ascii="宋体" w:hAnsi="宋体" w:eastAsia="宋体" w:cs="宋体"/>
                <w:b w:val="0"/>
                <w:bCs/>
                <w:sz w:val="21"/>
                <w:szCs w:val="21"/>
                <w:highlight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围墙入侵联动告警智能网络</w:t>
            </w:r>
            <w:r>
              <w:rPr>
                <w:rFonts w:hint="eastAsia" w:ascii="宋体" w:hAnsi="宋体" w:eastAsia="宋体" w:cs="宋体"/>
                <w:b w:val="0"/>
                <w:bCs/>
                <w:sz w:val="21"/>
                <w:szCs w:val="21"/>
                <w:highlight w:val="none"/>
                <w:lang w:val="en-US" w:eastAsia="zh-CN"/>
              </w:rPr>
              <w:t xml:space="preserve">红外枪机</w:t>
            </w: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防坠楼、防越界感应告警智能网络摄像机</w:t>
            </w:r>
            <w:r>
              <w:rPr>
                <w:rFonts w:hint="eastAsia" w:ascii="宋体" w:hAnsi="宋体" w:eastAsia="宋体" w:cs="宋体"/>
                <w:i w:val="0"/>
                <w:iCs w:val="0"/>
                <w:color w:val="000000"/>
                <w:sz w:val="21"/>
                <w:szCs w:val="21"/>
                <w:highlight w:val="none"/>
                <w:u w:val="none"/>
                <w:lang w:val="en-US" w:eastAsia="zh-CN" w:bidi="ar"/>
              </w:rPr>
            </w:r>
            <w:r/>
          </w:p>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异常行为分析告警网络枪机（台）</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异常密度分析告警拥挤防范摄像机</w:t>
            </w:r>
            <w:r>
              <w:rPr>
                <w:rFonts w:hint="eastAsia" w:ascii="宋体" w:hAnsi="宋体" w:eastAsia="宋体" w:cs="宋体"/>
                <w:i w:val="0"/>
                <w:iCs w:val="0"/>
                <w:color w:val="000000"/>
                <w:sz w:val="21"/>
                <w:szCs w:val="21"/>
                <w:highlight w:val="none"/>
                <w:u w:val="none"/>
                <w:lang w:val="en-US" w:eastAsia="zh-CN" w:bidi="ar"/>
              </w:rPr>
            </w:r>
            <w:r/>
          </w:p>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访客机</w:t>
            </w:r>
            <w:r>
              <w:rPr>
                <w:rFonts w:hint="eastAsia" w:ascii="宋体" w:hAnsi="宋体" w:eastAsia="宋体" w:cs="宋体"/>
                <w:i w:val="0"/>
                <w:iCs w:val="0"/>
                <w:color w:val="000000"/>
                <w:sz w:val="21"/>
                <w:szCs w:val="21"/>
                <w:highlight w:val="none"/>
                <w:u w:val="none"/>
                <w:lang w:val="en-US" w:eastAsia="zh-CN" w:bidi="ar"/>
              </w:rPr>
            </w:r>
            <w:r/>
          </w:p>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江苏省海安高级中学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江苏省曲塘高级中学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ff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ff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ff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海安市南莫中学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海安市城南实验中学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海安市海陵中学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海安高新区实验中学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海安市紫石中学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海安市长江路小学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海安开发区实验小学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海安市明道小学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海安高新区丹凤小学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海安市教师发展中心附属小学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海安高新区海光小学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海安市特殊教育学校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海安市第一实验幼儿园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海安市中大街幼儿园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海安市第二实验幼儿园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海安市安平东路幼儿园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海安市第三实验幼儿园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海安市尚府幼儿园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海安市御府幼儿园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海安市长江路幼儿园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海安市华新幼儿园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海安市角斜镇角斜初级中学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海安市角斜镇老坝港初级中学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海安市角斜镇角斜小学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海安市角斜镇沿口小学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海安市李堡镇丁所初级中学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海安市大公镇中心小学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海安市开发区实验学校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海安市城东镇西场小学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海安高新区仁桥小学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海安市曲塘中学附属初级中学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海安市曲塘中心小学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海安市雅周镇中心幼儿园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海安市南莫镇中心小学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海安市白甸镇初中、小学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海安市墩头镇中心小学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gridSpan w:val="2"/>
            <w:tcW w:w="3640" w:type="dxa"/>
            <w:vAlign w:val="bottom"/>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bl>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8.市级智慧安防云管理平台</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以校园安防全场景智能化管控为核心目标，一是全面汇聚整合辖区内学校及周边的多元感知数据，涵盖视频监控、面部抓拍、访客记录等信息；二是具备按照教体局、区镇教育管理服务中心、学校等主体依据区域、级别分配权限功能，通过电脑端、指挥中心大屏等查看实时视频与调阅历史录像；三是对周界告警、防坠楼防越界告警、异常行为、异常密度等各类告警信息进行自动提醒，确保异常情况及时响应；四是达到需网络安全等级保护第三级‌要求。</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8.1视频汇聚</w:t>
      </w:r>
      <w:r>
        <w:rPr>
          <w:rFonts w:hint="eastAsia" w:ascii="宋体" w:hAnsi="宋体" w:eastAsia="宋体" w:cs="宋体"/>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电子地图：</w:t>
      </w:r>
      <w:r>
        <w:rPr>
          <w:rFonts w:hint="eastAsia" w:ascii="宋体" w:hAnsi="宋体" w:eastAsia="宋体" w:cs="宋体"/>
          <w:b w:val="0"/>
          <w:bCs/>
          <w:color w:val="000000"/>
          <w:sz w:val="24"/>
          <w:szCs w:val="24"/>
          <w:highlight w:val="none"/>
          <w:lang w:val="en-US" w:eastAsia="zh-CN"/>
        </w:rPr>
        <w:t xml:space="preserve">电子地图支持将系统内所有设备与实际地理坐标绑定，在地图界面以直观的图标形式展示设备具体位置，同时提供设备名称精准搜索功能并在地图上展示。针对设备密度较高的区域，当地图处于大比例显示状态时，系统会自动对该区域内的设备点位进行聚合处理，以数字形式展示聚合范围内的设备总数，避免点位重叠导致的视觉混乱。用户可通过鼠标滚轮滑动或拖拽操作下钻地图。此外，系统通过不同颜色区分设备在线状态，用户可通过地图上的点位颜色直观判断设备运行情况，快速识别异常设备并进行后续处理。</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实时视频：</w:t>
      </w:r>
      <w:r>
        <w:rPr>
          <w:rFonts w:hint="eastAsia" w:ascii="宋体" w:hAnsi="宋体" w:eastAsia="宋体" w:cs="宋体"/>
          <w:b w:val="0"/>
          <w:bCs/>
          <w:color w:val="000000"/>
          <w:sz w:val="24"/>
          <w:szCs w:val="24"/>
          <w:highlight w:val="none"/>
          <w:lang w:val="en-US" w:eastAsia="zh-CN"/>
        </w:rPr>
        <w:t xml:space="preserve">实时视频播放支持接入各类型监控设备的实时视频流，用户可在系统界面中选择目标设备，一键启动视频播放。同时，系统内置便捷的操作工具条，提供截图、录制、全屏等基础功能：点击截图按钮可即时捕捉当前视频画面，图片自动保存；点击录制按钮可启动视频录制和手动停止录制；点击全屏按钮可将视频画面切换至全屏模式，便于观察细节。</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在分屏显示功能上，非插件方式默认支持1分屏、4分屏显示；插件方式需安装专用插件，除1、4分屏外，还支持6分屏、8分屏、9分屏、16分屏等多种布局，可同时播放16路实时视频，且支持自定义分屏窗口的设备分配。</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视频参数展示功能可实时呈现关键数据，在视频播放窗口下方以动态数据条形式显示：实时视频流码率、视频分辨率，以及实时网速等信息。</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针对具备云台控制功能的摄像机，系统提供远程操控能力：在视频播放界面点击云台控制按钮，调出操控面板，支持方向控制、焦距调节、云台转速调节。</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此外，系统支持灵活的轮巡方案配置与预置位管理：用户可自定义轮巡方案，设置轮巡窗口数量、轮播间隔、轮巡次数；同时，支持预置位设置，用户可将摄像机当前的监控角度、焦距参数保存为预置位。</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历史视频：</w:t>
      </w:r>
      <w:r>
        <w:rPr>
          <w:rFonts w:hint="eastAsia" w:ascii="宋体" w:hAnsi="宋体" w:eastAsia="宋体" w:cs="宋体"/>
          <w:b w:val="0"/>
          <w:bCs/>
          <w:color w:val="000000"/>
          <w:sz w:val="24"/>
          <w:szCs w:val="24"/>
          <w:highlight w:val="none"/>
          <w:lang w:val="en-US" w:eastAsia="zh-CN"/>
        </w:rPr>
        <w:t xml:space="preserve">按存储方式划分，可选择本地存储、云存储等类型，精准筛选对应存储位置的视频文件；按录像时间段检索时，可以精确到当天的时间范围设置，确保快速定位目标视频。用户选中历史视频文件后，可一键启动播放，支持常规的播放、暂停、进度拖拽等操作，用户可选择具体时间段的视频下载。</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设备信息：</w:t>
      </w:r>
      <w:r>
        <w:rPr>
          <w:rFonts w:hint="eastAsia" w:ascii="宋体" w:hAnsi="宋体" w:eastAsia="宋体" w:cs="宋体"/>
          <w:b w:val="0"/>
          <w:bCs/>
          <w:color w:val="000000"/>
          <w:sz w:val="24"/>
          <w:szCs w:val="24"/>
          <w:highlight w:val="none"/>
          <w:lang w:val="en-US" w:eastAsia="zh-CN"/>
        </w:rPr>
        <w:t xml:space="preserve">用户可通过设备名称、设备编码、通道名称、设备来源、设备状态等条件单独或组合查询；查询结果以列表形式展示，包含设备核心信息，支持按设备名称、设备编码、通道编码等字段排序，也可导出为Excel表格，方便离线统计与存档。</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设备对接：</w:t>
      </w:r>
      <w:r>
        <w:rPr>
          <w:rFonts w:hint="eastAsia" w:ascii="宋体" w:hAnsi="宋体" w:eastAsia="宋体" w:cs="宋体"/>
          <w:b w:val="0"/>
          <w:bCs/>
          <w:color w:val="000000"/>
          <w:sz w:val="24"/>
          <w:szCs w:val="24"/>
          <w:highlight w:val="none"/>
          <w:lang w:val="en-US" w:eastAsia="zh-CN"/>
        </w:rPr>
        <w:t xml:space="preserve">支持多种对接方式，覆盖不同场景下的设备接入。摄像头直连方式兼容 RTSP 标准协议；第三方平台 API 对接支持通过标准化 API 接口与其他监控平台对接，实现设备信息与视频资源的互通，对接过程中支持接口参数自定义配置，适配不同平台的接口规范；GB/T 28181 国标级联方式严格遵循公安最新摄像头对接标准，支持上下级平台的级联互通，可实现跨区域、跨部门的设备接入与视频共享，级联过程中自动完成设备注册、目录同步、心跳检测等操作，确保级联稳定性。</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视图库管理：</w:t>
      </w:r>
      <w:r>
        <w:rPr>
          <w:rFonts w:hint="eastAsia" w:ascii="宋体" w:hAnsi="宋体" w:eastAsia="宋体" w:cs="宋体"/>
          <w:b w:val="0"/>
          <w:bCs/>
          <w:color w:val="000000"/>
          <w:sz w:val="24"/>
          <w:szCs w:val="24"/>
          <w:highlight w:val="none"/>
          <w:lang w:val="en-US" w:eastAsia="zh-CN"/>
        </w:rPr>
        <w:t xml:space="preserve">视图空间创建与管理，支持用户根据业务需求创建多个独立视图空间，每个视图空间可单独设置名称和类型。在视图空间内，可对采集设备与抓拍图片进行分类管理：采集设备按视图ID、设备名称、设备编码、心跳时间、设备状态等维度分组展示，抓拍图片按人员、车辆、人脸分类归档，用户可在对应视图空间内快速筛选所需的设备与图片资源，实现视图资源的精准区分与集中管控。</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跨平台级联功能支持上级联与下级联两种模式，且基于T1400协议实现视图资源互通。上级联模式下，用户可将本平台内接入的T1400协议设备及设备抓拍的视图图片，按预设规则上传至上级第三方平台；此外，可实时查看第三方平台对本平台的订阅日志，日志内容包含订阅标题、订阅时间、订阅状态等，便于掌握资源共享情况。</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下级联模式下，可接收第三方平台通过T1400协议推送的设备信息及图片资源，系统自动将第三方平台的T1400设备纳入本平台视图库管理，设备信息与图片资源同步至对应视图空间。</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8.2视频AI管理</w:t>
      </w:r>
      <w:r>
        <w:rPr>
          <w:rFonts w:hint="eastAsia" w:ascii="宋体" w:hAnsi="宋体" w:eastAsia="宋体" w:cs="宋体"/>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数据驾驶舱：</w:t>
      </w:r>
      <w:r>
        <w:rPr>
          <w:rFonts w:hint="eastAsia" w:ascii="宋体" w:hAnsi="宋体" w:eastAsia="宋体" w:cs="宋体"/>
          <w:b w:val="0"/>
          <w:bCs/>
          <w:color w:val="000000"/>
          <w:sz w:val="24"/>
          <w:szCs w:val="24"/>
          <w:highlight w:val="none"/>
          <w:lang w:val="en-US" w:eastAsia="zh-CN"/>
        </w:rPr>
        <w:t xml:space="preserve">在驾驶舱首页以大尺寸数字卡片形式展示关键指标，数据在每相同时间间隔更新。展示平台基础数据，例如展示平台注册用户账号数、算法池算法数、算法总路数、AI设备总数等。通过图表组合展示用户相关数据，例如用户算法使用排行、客户算法路数分布、客户AI设备量分布等。</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AI告警数据统计：以图表展示近7天AI告警数量变化趋势，展示告警类型占比，点击图表可查看对应类型的告警详情列表。</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前端视图与告警列表：统计前端AI摄像头和平台的告警信息，展示AI告警数据列表，同时展示前端面部识别抓拍的人脸图片、越界告警现场截图等。</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算力管理：</w:t>
      </w:r>
      <w:r>
        <w:rPr>
          <w:rFonts w:hint="eastAsia" w:ascii="宋体" w:hAnsi="宋体" w:eastAsia="宋体" w:cs="宋体"/>
          <w:b w:val="0"/>
          <w:bCs/>
          <w:color w:val="000000"/>
          <w:sz w:val="24"/>
          <w:szCs w:val="24"/>
          <w:highlight w:val="none"/>
          <w:lang w:val="en-US" w:eastAsia="zh-CN"/>
        </w:rPr>
        <w:t xml:space="preserve">对服务器、算力等IT资源进行全覆盖监管，主要监控指标包括：CPU、GPU、内存、端口等。输出统一的AI分析数据，满足第三方平台所需的AI分析告警服务；可以实际业务场景数据提供给算法生产平台用于算法优化。</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算法仓库：</w:t>
      </w:r>
      <w:r>
        <w:rPr>
          <w:rFonts w:hint="eastAsia" w:ascii="宋体" w:hAnsi="宋体" w:eastAsia="宋体" w:cs="宋体"/>
          <w:b w:val="0"/>
          <w:bCs/>
          <w:color w:val="000000"/>
          <w:sz w:val="24"/>
          <w:szCs w:val="24"/>
          <w:highlight w:val="none"/>
          <w:lang w:val="en-US" w:eastAsia="zh-CN"/>
        </w:rPr>
        <w:t xml:space="preserve">支持新增、编辑、删除算法信息，包括算法名称、算法编码、调用方式、关联算力等。提供越界识别、人员持刀检测、静态打架检测、人员聚集检测、面部识别、人员倒地检测、无人值守告警、吸烟检测、烟火检测、车牌识别等算法。     </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 任务中心：</w:t>
      </w:r>
      <w:r>
        <w:rPr>
          <w:rFonts w:hint="eastAsia" w:ascii="宋体" w:hAnsi="宋体" w:eastAsia="宋体" w:cs="宋体"/>
          <w:b w:val="0"/>
          <w:bCs/>
          <w:color w:val="000000"/>
          <w:sz w:val="24"/>
          <w:szCs w:val="24"/>
          <w:highlight w:val="none"/>
          <w:lang w:val="en-US" w:eastAsia="zh-CN"/>
        </w:rPr>
        <w:t xml:space="preserve">可以对算法任务参数进行灵活的个性化配置，设置任务名称，选择算法名称、算法厂商、设备、检测频率和运行时间等信息；根据实际应用场景设置算法任务执行方式，设置任务启动时间段、运行周期，系统在指定时间段内自动启动任务，非时段内暂停任务，适用于分时段监控需求；同时可以勾选多个任务后可一键启动、暂停或停止。</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告警中心：</w:t>
      </w:r>
      <w:r>
        <w:rPr>
          <w:rFonts w:hint="eastAsia" w:ascii="宋体" w:hAnsi="宋体" w:eastAsia="宋体" w:cs="宋体"/>
          <w:b w:val="0"/>
          <w:bCs/>
          <w:color w:val="000000"/>
          <w:sz w:val="24"/>
          <w:szCs w:val="24"/>
          <w:highlight w:val="none"/>
          <w:lang w:val="en-US" w:eastAsia="zh-CN"/>
        </w:rPr>
        <w:t xml:space="preserve">可以展示经过AI分析后的告警数据，如周界越界告警、异常行为分析告警、异常密度分析等告警数据；对接前端设备抓拍功能，在人员相关告警中，可直接查看设备抓拍的面部视图信息，支持面部图片放大操作；对接不同品牌、不同类型的第三方平台，通过API接口或协议适配接收其告警数据，自动解析并统一格式后纳入告警中心管理；当触发紧急告警时，系统自动通过平台对接的现场喇叭、声光报警器等扩音设备发出提醒，播放预设语音。</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9.智慧安防指挥中心建设</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指挥中心通过统一平台整合视频监控、AI等系统，实现“一键联动”：当AI分析识别到异常行为（如持刀闯入、学生斗殴），指挥中心可实时调取现场画面、触发警报，及时推送至学校安保和相关负责人处，将应急响应时间从“分钟级”压缩至“秒级”，最大限度降低事故损失。</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安防指挥中心部分主要涉及指挥研判屏体、操作指挥台、控制终端的采购建设和指挥中心的装修工作。</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（三）重点要素保障</w:t>
      </w:r>
      <w:r>
        <w:rPr>
          <w:rFonts w:hint="eastAsia" w:ascii="宋体" w:hAnsi="宋体" w:eastAsia="宋体" w:cs="宋体"/>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1.设备国产化保障</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系统采用JAVA语言，基于J2EE的分布式计算技术进行系统架构设计和系统开发，部署于国产银河麒麟操作系统；支持国产化中间件、国产化数据库、国产化浏览器。</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1.1数据库适配</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根据国产化适配要求，适配数据库软件，以保证数据以及业务系统运转顺畅。本项目需采购国产化数据库软件，同步需完成数据库国产化适配工作，初始化国产数据库环境，使用国产数据库进行数据存储。</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1.2操作系统适配</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根据国产化适配要求，适配国产操作系统，以保证数据以及业务系统运转顺畅；本项目需采购国产操作系统。</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1.3 ARM技术架构适配</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目前国产CPU厂商得到相应指令集的架构授权，CPU的指令集分为复杂指令集(CISC)和精简指令集(RISC)两大类。复杂指令集以x86架构为代表，精简指令集则包括ARM、MIPS、Alpha、Power等。国产CPU多采用ARM技术架构，ARM技术架构具有体积小、低功耗、低成本、高性能、执行速度快等明显优势。</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1.4浏览器适配</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对B/S架构下应用系统的Web浏览器进行兼容性适配，适配国产化环境下的国产浏览器（360）和火狐等主流浏览器，页面是否能正常打开、页面内容是否完全显示、页面打开无明显卡顿等为评判标准进行适配优化。</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2.秒级响应及带宽保障</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前端摄像机算法识别，第一时间在周界、越界和密度分析探头处响应，专业音柱播报告警信息，依托平台的人员持刀、打架斗殴等异常行为分析算法，同时信息推送到学校监控室、相关安保负责人和教体局安防指挥中心，及时消除安全隐患。</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监控和报警数据能够通过大带宽稳定传输，确保安防系统和平台的运行展示，同时不得影响学校的正常教学办公的网络使用。</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3.网络和数据安全</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市级智慧安防云管理平台按照信息安全等级保护三级标准进行建设，构建安全区域边界、安全计算环境、安全通信网络三维一体的的核心业务系统技术防御体系。</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3.1安全区域边界：</w:t>
      </w:r>
      <w:r>
        <w:rPr>
          <w:rFonts w:hint="eastAsia" w:ascii="宋体" w:hAnsi="宋体" w:eastAsia="宋体" w:cs="宋体"/>
          <w:b w:val="0"/>
          <w:bCs/>
          <w:sz w:val="24"/>
          <w:szCs w:val="24"/>
          <w:highlight w:val="none"/>
          <w:lang w:val="en-US" w:eastAsia="zh-CN"/>
        </w:rPr>
        <w:t xml:space="preserve">依据信息安全等级保护要求中安全区域边界相关安全控制项，</w:t>
      </w:r>
      <w:r>
        <w:rPr>
          <w:rFonts w:hint="eastAsia" w:ascii="宋体" w:hAnsi="宋体" w:eastAsia="宋体" w:cs="宋体"/>
          <w:b w:val="0"/>
          <w:bCs/>
          <w:color w:val="000000"/>
          <w:sz w:val="24"/>
          <w:szCs w:val="24"/>
          <w:highlight w:val="none"/>
          <w:lang w:val="en-US" w:eastAsia="zh-CN"/>
        </w:rPr>
        <w:t xml:space="preserve">借助现有教育城域网部署的</w:t>
      </w:r>
      <w:r>
        <w:rPr>
          <w:rFonts w:hint="eastAsia" w:ascii="宋体" w:hAnsi="宋体" w:eastAsia="宋体" w:cs="宋体"/>
          <w:b w:val="0"/>
          <w:bCs/>
          <w:sz w:val="24"/>
          <w:szCs w:val="24"/>
          <w:highlight w:val="none"/>
          <w:lang w:val="en-US" w:eastAsia="zh-CN"/>
        </w:rPr>
        <w:t xml:space="preserve">边界设备、防火墙、入侵防御系统、上网行为管理、运维安全网关等安全设备，对来自外部网络的各类恶意代码及非法攻击行为进行有效的检测、拦截和阻断，并对用户的上网行为、流量等进行审计和管理。</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3.2安全计算环境：</w:t>
      </w:r>
      <w:r>
        <w:rPr>
          <w:rFonts w:hint="eastAsia" w:ascii="宋体" w:hAnsi="宋体" w:eastAsia="宋体" w:cs="宋体"/>
          <w:b w:val="0"/>
          <w:bCs/>
          <w:sz w:val="24"/>
          <w:szCs w:val="24"/>
          <w:highlight w:val="none"/>
          <w:lang w:val="en-US" w:eastAsia="zh-CN"/>
        </w:rPr>
        <w:t xml:space="preserve">主要内容包括身份鉴别、访问控制、安全审计、入侵防范、恶意代码防范、可信验证、数据完整性、数据保密性、数据备份恢复、剩余信息保护及个人信息保护。</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平台提供多种认证方式，支持身份验证、数字签名、数字证书等安全技术和产品集成，支持与CA系统的安全集成，实现基于PKI和CA技术的身份认证、数字签名等服务。普通认证采用MD5加密算法，128位密钥加密确保系统安全。</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基于角色访问控制（RBAC）构建权限管理体系，采用严格的授权/访问控制，秉承最小权限原则、最小特权原则，给需要相应权限的用户对应功能权限，不过分赋权。</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审计日志留存六个月以上，在日志数据管理过程中定期场外备份，极端情况下进行异地备份；同时保证日志完整性，确保留存的日志没有被修改或删除，不能出现损坏无法读取的情况。</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针对主要包括鉴别数据、审计数据、业务数据等的重要数据传输过程中的完整性主要通过协议来实现，支持采用TLS、SSH协议，通过MAC（消息校验码）来实现整个数据报文的完整性和加密性。同时针对存储过程，支持基于密码算法的数据加密机制和密钥管理机制，进行核查相关账户的口令、业务数据、审计数据加密存储，保障数据安全存储。</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制定数据备份策略并准备数据备份服务器，实现重要数据的本地备份与恢复。对个人信息的访问进行控制，禁止非授权使用。采用数据防泄漏系统，或采用数据库脱敏系统对个人敏感信息数据进行脱敏处理。</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剩余信息保护是对用户使用过的信息，当该用户不在使用或不在存在时，应当采取一定的措施保护。剩余信息完全清除的方式有覆盖、消磁和销毁三种，对磁盘可根据信息的敏感程度实施覆盖或消磁，而对于内存可通过断电的方式进行清除。</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3.3安全通信网络：</w:t>
      </w:r>
      <w:r>
        <w:rPr>
          <w:rFonts w:hint="eastAsia" w:ascii="宋体" w:hAnsi="宋体" w:eastAsia="宋体" w:cs="宋体"/>
          <w:b w:val="0"/>
          <w:bCs/>
          <w:sz w:val="24"/>
          <w:szCs w:val="24"/>
          <w:highlight w:val="none"/>
          <w:lang w:val="en-US" w:eastAsia="zh-CN"/>
        </w:rPr>
        <w:t xml:space="preserve">采用先进的网络架构和设计理念，确保网络的稳定性和可靠性，打造一个全面、高效、安全、可靠的安全通信网络，确保通信数据的安全性和机密性。</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通信安全传输：要求能够满足业务处理安全保密和完整性需求，避免因传输通道被窃听、篡改而引起的数据泄露或传输异常等问题。本项目将采用最为主流的SSL（安全套接层）协议，支持Web Server提供的标准安全加密传输协议，确保数据在传输过程中不被窃取和撰改。</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网络架构设计重点关注以下方面：</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主要网络设备、安全设备（如核心交换机、核心路由器、关键节点安全设备等）的业务处理能力应能满足业务高峰期需要，保证各项业务运行流畅。如主干网络需要采用包括设备冗余、链路冗余的网络架构，以满足业务连续性需求。</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网络带宽应能满足业务高峰期的需求，保证各业务系统正常运行的基本带宽。</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划分不同的子网，按照方便管理和控制的原则为各子网、网段分配地址段。</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避免将重要网络区域部署在网络边界处且没有边界防护措施。</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（四）施工要求</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中标供应商应按照项目要求实施，在规定时间内签订合同后15日内向采购人</w:t>
      </w:r>
      <w:r>
        <w:rPr>
          <w:rFonts w:hint="eastAsia" w:ascii="宋体" w:hAnsi="宋体" w:eastAsia="宋体" w:cs="宋体"/>
          <w:b w:val="0"/>
          <w:bCs/>
          <w:color w:val="000000"/>
          <w:sz w:val="24"/>
          <w:szCs w:val="24"/>
          <w:highlight w:val="none"/>
          <w:lang w:val="en-US" w:eastAsia="zh-CN"/>
        </w:rPr>
        <w:t xml:space="preserve">提供实施方案，实施方案应与采购人及学校共同商定，同时由采购人优先考虑监控设施急需的学校先施工。</w:t>
      </w:r>
      <w:r>
        <w:rPr>
          <w:rFonts w:hint="eastAsia" w:ascii="宋体" w:hAnsi="宋体" w:eastAsia="宋体" w:cs="宋体"/>
          <w:b w:val="0"/>
          <w:bCs/>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订购设备和材料的日期；进场的日期；设备和材料运抵工地的日期；施工、调试日期；申请验收的日期；竣工并移交使用日期等。采购人有权对中标人所提供的实施方案进行调整和审核确认，但不能免除中标人对本合同的任何责任。</w:t>
      </w:r>
      <w:r>
        <w:rPr>
          <w:rFonts w:hint="eastAsia" w:ascii="宋体" w:hAnsi="宋体" w:eastAsia="宋体" w:cs="宋体"/>
          <w:b w:val="0"/>
          <w:bCs/>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1.质量流程要求</w:t>
      </w:r>
      <w:r>
        <w:rPr>
          <w:rFonts w:hint="eastAsia" w:ascii="宋体" w:hAnsi="宋体" w:eastAsia="宋体" w:cs="宋体"/>
          <w:b/>
          <w:bCs w:val="0"/>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中标供应商必须严格按照实施方案进行施</w:t>
      </w:r>
      <w:r>
        <w:rPr>
          <w:rFonts w:hint="eastAsia" w:ascii="宋体" w:hAnsi="宋体" w:eastAsia="宋体" w:cs="宋体"/>
          <w:b w:val="0"/>
          <w:bCs/>
          <w:sz w:val="24"/>
          <w:szCs w:val="24"/>
          <w:highlight w:val="none"/>
          <w:lang w:val="en-US" w:eastAsia="zh-CN"/>
        </w:rPr>
        <w:t xml:space="preserve">工，并无条件的接受采购人全过程的工程质量监督管理。项目实施过程中如遇特殊情况需要变更的应由采购人、中标人、学校三方讨论确认后以书面形式通知中标人实施，否则采购人对工程量不予认可。采购人委托的监督人员有权监督、检查、检验中标人的施工质量、进度，整改方案须经监督人员认可后方能实施，中标人应把工程质量放在首位，加强技术管理和质量保证体系，严格认真地执行技术标准和规范。</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1.1隐蔽工程：</w:t>
      </w:r>
      <w:r>
        <w:rPr>
          <w:rFonts w:hint="eastAsia" w:ascii="宋体" w:hAnsi="宋体" w:eastAsia="宋体" w:cs="宋体"/>
          <w:b w:val="0"/>
          <w:bCs/>
          <w:sz w:val="24"/>
          <w:szCs w:val="24"/>
          <w:highlight w:val="none"/>
          <w:lang w:val="en-US" w:eastAsia="zh-CN"/>
        </w:rPr>
        <w:t xml:space="preserve">由中标供应商提前提出书面申请单，必须经采购人、校方检查、验收签证后，方可进行下一道工序。</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没有经过采购人的批准，工程的任何部分均不得覆盖或使之无法查看。中标人应保证有充分的时间，对隐蔽或无法查看工程的任何部分进行检查或测量。</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1.2文明施工：</w:t>
      </w:r>
      <w:r>
        <w:rPr>
          <w:rFonts w:hint="eastAsia" w:ascii="宋体" w:hAnsi="宋体" w:eastAsia="宋体" w:cs="宋体"/>
          <w:b w:val="0"/>
          <w:bCs/>
          <w:sz w:val="24"/>
          <w:szCs w:val="24"/>
          <w:highlight w:val="none"/>
          <w:lang w:val="en-US" w:eastAsia="zh-CN"/>
        </w:rPr>
        <w:t xml:space="preserve">施工期间注意周边环境，减少对学校上课、晚自习、周围居民的影响（交通、灰尘、噪音等）。</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2.工程施工要求</w:t>
      </w:r>
      <w:r>
        <w:rPr>
          <w:rFonts w:hint="eastAsia" w:ascii="宋体" w:hAnsi="宋体" w:eastAsia="宋体" w:cs="宋体"/>
          <w:b/>
          <w:bCs w:val="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本项目由中标供应商统一供货并负责系统集成，实施期间中标供应商须提供设备原厂工程师现场安装指导及现场试验指导等现场技术服务，现场调试期间派技术人员到现场指导。</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2.1杆件与杆件基础：</w:t>
      </w:r>
      <w:r>
        <w:rPr>
          <w:rFonts w:hint="eastAsia" w:ascii="宋体" w:hAnsi="宋体" w:eastAsia="宋体" w:cs="宋体"/>
          <w:b w:val="0"/>
          <w:bCs/>
          <w:sz w:val="24"/>
          <w:szCs w:val="24"/>
          <w:highlight w:val="none"/>
          <w:lang w:val="en-US" w:eastAsia="zh-CN"/>
        </w:rPr>
        <w:t xml:space="preserve">立杆安装于</w:t>
      </w:r>
      <w:r>
        <w:rPr>
          <w:rFonts w:hint="eastAsia" w:ascii="宋体" w:hAnsi="宋体" w:eastAsia="宋体" w:cs="宋体"/>
          <w:b w:val="0"/>
          <w:bCs/>
          <w:color w:val="000000"/>
          <w:sz w:val="24"/>
          <w:szCs w:val="24"/>
          <w:highlight w:val="none"/>
          <w:lang w:val="en-US" w:eastAsia="zh-CN"/>
        </w:rPr>
        <w:t xml:space="preserve">设定位置</w:t>
      </w:r>
      <w:r>
        <w:rPr>
          <w:rFonts w:hint="eastAsia" w:ascii="宋体" w:hAnsi="宋体" w:eastAsia="宋体" w:cs="宋体"/>
          <w:b w:val="0"/>
          <w:bCs/>
          <w:sz w:val="24"/>
          <w:szCs w:val="24"/>
          <w:highlight w:val="none"/>
          <w:lang w:val="en-US" w:eastAsia="zh-CN"/>
        </w:rPr>
        <w:t xml:space="preserve">。基础采用明挖施工法，坑底先整平、夯实。地脚螺栓预先进行热浸镀锌处理，预埋时其方向与底座法兰盘保持垂直。施工基础预埋安装螺栓预埋件和PVC管道，基础施工完毕，地脚螺栓外露长度应控制在30-50mm以内，并对外露部分做防护防锈处理，使用c25砼水泥一次成型浇筑，必须确保美观，基坑应分层回填夯实，恢复因施工破损路面原样。</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施工基础时要注意预埋穿线管，基础应按设计要求进行养护后方可进行立杆安装。立杆的底座应牢靠地固定在用地脚螺栓预埋的钢筋混凝土基座上。立杆安装后外露螺栓需做防锈处理，并用混凝土覆盖。立杆上应合理设置避雷装置。</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2.2控制箱：</w:t>
      </w:r>
      <w:r>
        <w:rPr>
          <w:rFonts w:hint="eastAsia" w:ascii="宋体" w:hAnsi="宋体" w:eastAsia="宋体" w:cs="宋体"/>
          <w:b w:val="0"/>
          <w:bCs/>
          <w:sz w:val="24"/>
          <w:szCs w:val="24"/>
          <w:highlight w:val="none"/>
          <w:lang w:val="en-US" w:eastAsia="zh-CN"/>
        </w:rPr>
        <w:t xml:space="preserve">抱杆机箱采取背部进线设计，悬挂高度不低于2.5米（底端离地面）。</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箱内光缆、电源线缆等应一并到位，接、插件联接要可靠，电源线与网线要明显分开。所有线缆应有明显可辨的编号或标识，其隐蔽部分、裸露或弯曲部分要求根据设备材料要求套管套护。各点的强弱电部分均必须合理配置防雷装置。线缆及管线的连接、排列、走向、弯曲与接地处理等应符合国家有关规范要求。机箱具有防腐、防尘、抗老化等功能。</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设备箱与杆体结合部位应预留出线孔，孔的上部做防水倒角。</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2.3摄像机安装工艺要求</w:t>
      </w:r>
      <w:r>
        <w:rPr>
          <w:rFonts w:hint="eastAsia" w:ascii="宋体" w:hAnsi="宋体" w:eastAsia="宋体" w:cs="宋体"/>
          <w:b w:val="0"/>
          <w:bCs/>
          <w:sz w:val="24"/>
          <w:szCs w:val="24"/>
          <w:highlight w:val="none"/>
          <w:lang w:val="en-US" w:eastAsia="zh-CN"/>
        </w:rPr>
        <w:t xml:space="preserve">：摄像机安装于F杆横杆的相应位置处，具体位置根据现场实际情况确定。热镀锌材料板厚度不小于6mm，表面做喷塑处理，连接螺栓、螺母、垫圈等钢铁件采用不锈钢材料制作。从摄像机引出的电缆宜留有一米的余量，不得影响摄像机的转动。摄像机的电缆和电源线均应固定，不得用插头承受电缆的自重。</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安装前摄像机应逐一加电进行检测和调整，按设计要求配置IP地址，使摄像机处于正常工作状态。</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按要求将摄像机（防护罩）调整好拍摄角度，牢牢固定在底座及万向节上。</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2.4网络设备安装要求</w:t>
      </w:r>
      <w:r>
        <w:rPr>
          <w:rFonts w:hint="eastAsia" w:ascii="宋体" w:hAnsi="宋体" w:eastAsia="宋体" w:cs="宋体"/>
          <w:b w:val="0"/>
          <w:bCs/>
          <w:sz w:val="24"/>
          <w:szCs w:val="24"/>
          <w:highlight w:val="none"/>
          <w:lang w:val="en-US" w:eastAsia="zh-CN"/>
        </w:rPr>
        <w:t xml:space="preserve">：数据中心、监控中心、学校设备中心、接入交换机、门卫等网络交换设备汇聚点，按照网络综合布线规范，合理安装网络机柜、配线架、配电等设施，统一配置所有设备的互联地址，包括全网监控通道网络设备的配置优化调整。</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2.5布线施工说明：</w:t>
      </w:r>
      <w:r>
        <w:rPr>
          <w:rFonts w:hint="eastAsia" w:ascii="宋体" w:hAnsi="宋体" w:eastAsia="宋体" w:cs="宋体"/>
          <w:b w:val="0"/>
          <w:bCs/>
          <w:sz w:val="24"/>
          <w:szCs w:val="24"/>
          <w:highlight w:val="none"/>
          <w:lang w:val="en-US" w:eastAsia="zh-CN"/>
        </w:rPr>
        <w:t xml:space="preserve">每项电缆线用有标识的套管编码以便日后维修。每项电缆线预留1米余量于挂箱内，线段两端做好标记。放线后每根电缆线尾断口独立密封，防止水分渗入线内，做到防水、防潮，做好标记。放线前，在导管的管口处套上喇叭形无锐边的塑料管套，以免损伤电缆。放线时强、弱电要分管走线，强弱电不能共管。放线完毕，再检查线间绝缘电阻，检查是否有损伤漏电的可能。线与线之间的绝缘电阻在500伏测试范围时在10兆欧以上。</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采用合适的线路保护方式，一般出线较多的主干采用走廊沿墙或梁下挂金属桥架铺设，如有利旧原网络桥架的，铺设后要完美恢复，其余采用槽板、穿管沿墙固定，要注意铺设美观、牢固，跨路、跨楼宇线路除光纤外一律不得架空铺设，采用电缆沟或埋地铺设，埋地铺设需破路穿防锈抗挤压金属管保护，埋管深度符合路面荷载要求，尽量按原路面恢复，满足校方的要求。</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涉及原有监控设施更换的，中标供应商须按照学校要求免费拆除原有监控设施，便于部署新的监控设施，拆除时不得损坏周界建筑设施，如因拆除造成损害，由中标人免费修复，拆除的设施、设备交校方处理。施工过程中涉及影响施工和走线的树枝整理，由中标供应商免费整理，校方须做好配合、协调工作。</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2.6系统防雷接地：</w:t>
      </w:r>
      <w:r>
        <w:rPr>
          <w:rFonts w:hint="eastAsia" w:ascii="宋体" w:hAnsi="宋体" w:eastAsia="宋体" w:cs="宋体"/>
          <w:b w:val="0"/>
          <w:bCs/>
          <w:sz w:val="24"/>
          <w:szCs w:val="24"/>
          <w:highlight w:val="none"/>
          <w:lang w:val="en-US" w:eastAsia="zh-CN"/>
        </w:rPr>
        <w:t xml:space="preserve">前端设备因雷击而造成损坏，由中标人根据维保要求自行负责维修或更换，中标人自行考虑雷电保护装置。</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由于系统前端设备长期在户外运行，因此系统采用的户外设备箱和防护罩以及所有设备都经过防锈、防腐蚀处理外。系统的防雷措施也一定要引起重视。</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在摄像机和补光灯安装支架上加置避雷针，立杆基础加接地棒，采用一点接地的方式，接地电阻小于4欧姆。视频线缆的摄像机端安装视频避雷器。所有的用电设备通过防浪涌和雷击电源插座接出，具备外部和内部两级避雷措施，且装有自动重合闸漏电保护开关。前端摄像设备置于接闪器（避雷针或其它接闪导体）有效保护范围之内。避雷针架设在摄像机的支撑杆上，引下线可直接利用金属杆本身。</w:t>
      </w:r>
      <w:r>
        <w:rPr>
          <w:rFonts w:hint="eastAsia" w:ascii="宋体" w:hAnsi="宋体" w:eastAsia="宋体" w:cs="宋体"/>
          <w:b w:val="0"/>
          <w:bCs/>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为防止雷电波沿线路侵入前端设备，在设备前的每条线路上加装避雷器，如电源线（220V或DC12V）、视频线、控制线、网络线等。电源上应设置三级避雷保护。</w:t>
      </w:r>
      <w:r>
        <w:rPr>
          <w:rFonts w:hint="eastAsia" w:ascii="宋体" w:hAnsi="宋体" w:eastAsia="宋体" w:cs="宋体"/>
          <w:b w:val="0"/>
          <w:bCs/>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2.7一机一档要求：</w:t>
      </w:r>
      <w:r>
        <w:rPr>
          <w:rFonts w:hint="eastAsia" w:ascii="宋体" w:hAnsi="宋体" w:eastAsia="宋体" w:cs="宋体"/>
          <w:b w:val="0"/>
          <w:bCs/>
          <w:sz w:val="24"/>
          <w:szCs w:val="24"/>
          <w:highlight w:val="none"/>
          <w:lang w:val="en-US" w:eastAsia="zh-CN"/>
        </w:rPr>
        <w:t xml:space="preserve">根据江苏省公共安全视频监控“一机一档”基础信息采集工作方案的要求，每个点位、每台设备均需在施工过程中进行“一机一档”的记录，一机一档表格样式详见通视联办〔2020〕3号《关于开展全市视频资源“一机一档”建设工作的通知》。</w:t>
      </w:r>
      <w:r>
        <w:rPr>
          <w:rFonts w:hint="eastAsia" w:ascii="宋体" w:hAnsi="宋体" w:eastAsia="宋体" w:cs="宋体"/>
          <w:b w:val="0"/>
          <w:bCs/>
          <w:sz w:val="24"/>
          <w:szCs w:val="24"/>
          <w:highlight w:val="none"/>
          <w:lang w:val="en-US" w:eastAsia="zh-CN"/>
        </w:rPr>
      </w:r>
      <w:r/>
    </w:p>
    <w:p>
      <w:pPr>
        <w:pStyle w:val="712"/>
        <w:numPr>
          <w:ilvl w:val="0"/>
          <w:numId w:val="0"/>
        </w:numPr>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val="0"/>
          <w:sz w:val="24"/>
          <w:szCs w:val="24"/>
          <w:highlight w:val="none"/>
          <w:lang w:val="en-US" w:eastAsia="zh-CN"/>
        </w:rPr>
        <w:t xml:space="preserve">服务要求：</w:t>
      </w:r>
      <w:r>
        <w:rPr>
          <w:rFonts w:hint="eastAsia" w:ascii="宋体" w:hAnsi="宋体" w:eastAsia="宋体" w:cs="宋体"/>
          <w:b w:val="0"/>
          <w:bCs/>
          <w:sz w:val="24"/>
          <w:szCs w:val="24"/>
          <w:highlight w:val="none"/>
          <w:lang w:val="en-US" w:eastAsia="zh-CN"/>
        </w:rPr>
        <w:t xml:space="preserve">智慧安防管理平台的开发和运维3年(含本项目收编接入的所有监控设施)。</w:t>
      </w:r>
      <w:r>
        <w:rPr>
          <w:rFonts w:hint="eastAsia" w:ascii="宋体" w:hAnsi="宋体" w:eastAsia="宋体" w:cs="宋体"/>
          <w:b w:val="0"/>
          <w:bCs/>
          <w:sz w:val="24"/>
          <w:szCs w:val="24"/>
          <w:highlight w:val="none"/>
          <w:lang w:val="en-US" w:eastAsia="zh-CN"/>
        </w:rPr>
      </w:r>
      <w:r/>
    </w:p>
    <w:p>
      <w:pPr>
        <w:pStyle w:val="712"/>
        <w:numPr>
          <w:ilvl w:val="0"/>
          <w:numId w:val="0"/>
        </w:numPr>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（六）货物清单</w:t>
      </w:r>
      <w:r>
        <w:rPr>
          <w:rFonts w:hint="eastAsia" w:ascii="宋体" w:hAnsi="宋体" w:eastAsia="宋体" w:cs="宋体"/>
          <w:b w:val="0"/>
          <w:bCs/>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84"/>
        <w:gridCol w:w="4193"/>
        <w:gridCol w:w="1901"/>
        <w:gridCol w:w="1439"/>
      </w:tblGrid>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一、补充或更换摄像机</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二、双目结构化摄像机</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双目结构化摄像机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三、校园周界报警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围栏支架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四、校园越界报警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五、异常行为分析报警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六、异常密度分析报警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拥挤防范摄像机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87"/>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七、访客系统</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八、前端设备</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交换机（24口POE）</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NVR（64路）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NVR（128路）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NVR（256路）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边缘计算主机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8T硬盘</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九、视频AI算法服务器配置</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超融合服务器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国产化数据库</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GPU服务器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校时服务器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校时服务器配套材料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十、管理平台</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海安市智慧安防云管理平台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十一、技防校园安防指挥中心</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室内全彩LED显示屏</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显示屏电源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接收卡</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室内显示屏钢结构框架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专业功放</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音箱壁挂支架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会议话筒</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反馈抑制器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控制终端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地面开槽布管穿线恢复</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空调移机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指挥中心背景墙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维修出新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bl>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（七）采购标的需满足的质量、安全、技术规格、物理特性等要求</w:t>
      </w:r>
      <w:r>
        <w:rPr>
          <w:rFonts w:hint="eastAsia" w:ascii="宋体" w:hAnsi="宋体" w:eastAsia="宋体" w:cs="宋体"/>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1.硬件部分</w:t>
      </w:r>
      <w:r>
        <w:rPr>
          <w:rFonts w:hint="eastAsia" w:ascii="宋体" w:hAnsi="宋体" w:eastAsia="宋体" w:cs="宋体"/>
          <w:b/>
          <w:bCs w:val="0"/>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2238"/>
        <w:gridCol w:w="5944"/>
      </w:tblGrid>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性能参数</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一、补充或更换摄像机</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像素：400万，最高分辨率不低于2560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1440@25fps，最低照度：彩色≥0.005 </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支持SmartIR，防止夜间红外过曝;支持背光补偿，强光抑制，3D数字降噪，数字宽动态，适应不同使用环境；支持智能补光，红外光补光距离≥50m，白光补光距离≥30m；</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4.宽动态：支持；</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5.接入标准：ONVIF（Profile S &amp; Profile T）；CGI；GB/T28181；</w:t>
            </w:r>
            <w:r>
              <w:rPr>
                <w:rFonts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6.内置麦克风：支持，内置1个麦克风；</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7.设备可同时采用DC12V电源与POE供电,当一路电源停止供电后,可正常工作；</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8.防护等级：IP67。</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1.立杆高度：3.5米/6米，横臂0.5米；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2.接地电阻&lt;10Ω；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3.拼缝焊接采用机械自动焊，无横向焊缝，严格保证纵向焊缝强度，焊缝表面光滑，无焊接缺陷；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4.杆柱基础法兰盘采用Q235B优质钢板，法兰与杆体之间正反二面满焊，焊接可靠、牢固，无焊接缺陷；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5.杆柱检修门孔使用相贯线切割，切割线光洁、整齐、缝隙小≤1mm，检修门使用防盗螺栓固定；</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6.表层进行热浸镀锌处理后静电喷塑处理，塑粉采用国产优质品牌静电喷涂热固性粉末，涂层厚度≥110um。</w:t>
            </w:r>
            <w:r>
              <w:rPr>
                <w:rFonts w:ascii="宋体" w:hAnsi="宋体" w:eastAsia="宋体" w:cs="宋体"/>
                <w:i w:val="0"/>
                <w:iCs w:val="0"/>
                <w:color w:val="000000"/>
                <w:sz w:val="21"/>
                <w:szCs w:val="21"/>
                <w:highlight w:val="none"/>
                <w:u w:val="none"/>
                <w:lang w:val="en-US"/>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二、双目结构化摄像机</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双目结构化摄像机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1.细节通道主码流分辨率不小于</w:t>
            </w:r>
            <w:r>
              <w:rPr>
                <w:rFonts w:hint="eastAsia" w:ascii="宋体" w:hAnsi="宋体" w:eastAsia="宋体" w:cs="宋体"/>
                <w:i w:val="0"/>
                <w:iCs w:val="0"/>
                <w:color w:val="000000"/>
                <w:sz w:val="21"/>
                <w:szCs w:val="21"/>
                <w:highlight w:val="none"/>
                <w:u w:val="none"/>
                <w:lang w:val="en-US" w:eastAsia="zh-CN" w:bidi="ar"/>
              </w:rPr>
              <w:t xml:space="preserve">3840×2160</w:t>
            </w:r>
            <w:r>
              <w:rPr>
                <w:rFonts w:hint="eastAsia" w:ascii="宋体" w:hAnsi="宋体" w:eastAsia="宋体" w:cs="宋体"/>
                <w:i w:val="0"/>
                <w:iCs w:val="0"/>
                <w:color w:val="000000"/>
                <w:sz w:val="21"/>
                <w:szCs w:val="21"/>
                <w:highlight w:val="none"/>
                <w:u w:val="none"/>
                <w:lang w:val="en-US" w:eastAsia="zh-CN" w:bidi="ar"/>
              </w:rPr>
              <w:t xml:space="preserve">，全景通道主码流分辨率不小于3632×1632；</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2.设备内置不少于3个镜头和3颗图像传感器，细节通道靶面尺寸不小于1/1.8英寸；</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▲3.全景通道水平视场角不小于180°，垂直视场角不小于70°；</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green"/>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4.全景通道的2个图像传感器间的采集同步误差</w:t>
            </w:r>
            <w:r>
              <w:rPr>
                <w:rFonts w:hint="eastAsia" w:ascii="宋体" w:hAnsi="宋体" w:eastAsia="宋体" w:cs="宋体"/>
                <w:i w:val="0"/>
                <w:iCs w:val="0"/>
                <w:color w:val="000000"/>
                <w:sz w:val="22"/>
                <w:szCs w:val="22"/>
                <w:highlight w:val="none"/>
                <w:u w:val="none"/>
                <w:lang w:val="en-US" w:eastAsia="zh-CN" w:bidi="ar"/>
              </w:rPr>
              <w:t xml:space="preserve">不大于1ms</w:t>
            </w:r>
            <w:r>
              <w:rPr>
                <w:rFonts w:hint="eastAsia" w:ascii="宋体" w:hAnsi="宋体" w:eastAsia="宋体" w:cs="宋体"/>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green"/>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5.最低照度彩色不大于0.0002 lx，黑白不大于0.0001 lx。</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6.焦距：细节通道：8~32 mm，全景通道：4 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green"/>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7.内置不少于2颗CPU、GPU、NPU一体化芯片；</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green"/>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8.支持检出两眼瞳距20像素点以上的人脸图片；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▲9.支持同时对检测区域内不少于60个移动目标（机动车、非机动车及行人）进行检测、框选跟踪、筛选、抓拍，并支持人脸与人体图片、车牌与车辆图片关联显示,人脸比对准确率不低于99%；</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采用金属外壳，内置不少于2个麦克风，1个扬声器，3路报警输入，2路报警输出，2路音频输入，1路音频输出，1个SD卡槽，1个DC12V电压输出接口，采用DC12V/POE供电，内置不少于6颗混合补光灯，每颗由红外灯、白光灯组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1.立杆高度：3.5米/6米，横臂0.5米；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2.接地电阻&lt;10Ω；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3.拼缝焊接采用机械自动焊，无横向焊缝，严格保证纵向焊缝强度，焊缝表面光滑，无焊接缺陷；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4.杆柱基础法兰盘采用Q235B优质钢板，法兰与杆体之间正反二面满焊，焊接可靠、牢固，无焊接缺陷；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5.杆柱检修门孔使用相贯线切割，切割线光洁、整齐、缝隙小≤1mm，检修门使用防盗螺栓固定；</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6.表层进行热浸镀锌处理后静电喷塑处理，塑粉采用国产优质品牌静电喷涂热固性粉末，涂层厚度≥110um。</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三、校园周界报警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w:t>
            </w:r>
            <w:r>
              <w:rPr>
                <w:rFonts w:hint="eastAsia" w:ascii="宋体" w:hAnsi="宋体" w:eastAsia="宋体" w:cs="宋体"/>
                <w:i w:val="0"/>
                <w:iCs w:val="0"/>
                <w:color w:val="000000"/>
                <w:sz w:val="21"/>
                <w:szCs w:val="21"/>
                <w:u w:val="none"/>
                <w:lang w:val="en-US" w:eastAsia="zh-CN" w:bidi="ar"/>
              </w:rPr>
              <w:t xml:space="preserve">素：400万，</w:t>
            </w:r>
            <w:r>
              <w:rPr>
                <w:rFonts w:hint="eastAsia" w:ascii="宋体" w:hAnsi="宋体" w:eastAsia="宋体" w:cs="宋体"/>
                <w:i w:val="0"/>
                <w:iCs w:val="0"/>
                <w:color w:val="000000"/>
                <w:sz w:val="21"/>
                <w:szCs w:val="21"/>
                <w:highlight w:val="none"/>
                <w:u w:val="none"/>
                <w:lang w:val="en-US" w:eastAsia="zh-CN" w:bidi="ar"/>
              </w:rPr>
              <w:t xml:space="preserve">最大分辨率2688x1520@25fps，最低照度：</w:t>
            </w:r>
            <w:r>
              <w:rPr>
                <w:rFonts w:hint="eastAsia" w:ascii="宋体" w:hAnsi="宋体" w:eastAsia="宋体" w:cs="宋体"/>
                <w:i w:val="0"/>
                <w:iCs w:val="0"/>
                <w:color w:val="000000"/>
                <w:sz w:val="21"/>
                <w:szCs w:val="21"/>
                <w:u w:val="none"/>
                <w:lang w:val="en-US" w:eastAsia="zh-CN" w:bidi="ar"/>
              </w:rPr>
              <w:t xml:space="preserve">彩色≥0.005</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2.传感器类型：1/3" Progressive Scan CMOS,内置GPU芯片；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3.1个内置麦克风，1个内置扬声器，支持双向语音对讲；</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4.支持白光灯补光，当白光灯开启时，可识别距离50米处的人体轮廊；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▲5.支持智能报警防干扰功能，智能分析行为类型为区域入侵、越界入侵、进入区域、离开区域时，报警检测目标设置为人体或车辆时，光线明暗变化，篮球滚动，狗行走，树摇晃，不触发报警</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当报警产生时，可触发联动声音报警，报警声音类型不少于10种，报警音量和重复次数可设置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6.支持对出现在监控场景内的两眼瞳距不小于19像素的人员面部进行检验，并叠加目标提示框；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▲7.支持同时对经过设定检测区域内的不低于10个行人进行人员面部检测、跟踪、评分和抓拍。可筛选和抓拍最佳人员面部图片存储及上报中心。抓拍图片数量、大小可设，支持上传全景照；</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8.支持1路报警输入，1路报警输出，1路音</w:t>
            </w:r>
            <w:r>
              <w:rPr>
                <w:rFonts w:hint="eastAsia" w:ascii="宋体" w:hAnsi="宋体" w:eastAsia="宋体" w:cs="宋体"/>
                <w:i w:val="0"/>
                <w:iCs w:val="0"/>
                <w:color w:val="000000"/>
                <w:sz w:val="21"/>
                <w:szCs w:val="21"/>
                <w:highlight w:val="none"/>
                <w:u w:val="none"/>
                <w:lang w:val="en-US" w:eastAsia="zh-CN" w:bidi="ar"/>
              </w:rPr>
              <w:t xml:space="preserve">频输入，1路音频输出；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9.支持DC12 V，100 mA电源输出，用于拾音器供电；支持PoE供电功能。</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围栏支架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根据现场配套定制</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四、校园越界报警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w:t>
            </w:r>
            <w:r>
              <w:rPr>
                <w:rFonts w:hint="eastAsia" w:ascii="宋体" w:hAnsi="宋体" w:eastAsia="宋体" w:cs="宋体"/>
                <w:i w:val="0"/>
                <w:iCs w:val="0"/>
                <w:color w:val="000000"/>
                <w:sz w:val="21"/>
                <w:szCs w:val="21"/>
                <w:highlight w:val="none"/>
                <w:u w:val="none"/>
                <w:lang w:val="en-US" w:eastAsia="zh-CN" w:bidi="ar"/>
              </w:rPr>
              <w:t xml:space="preserve">最大分辨率2688x1520@25fps，最低照度：</w:t>
            </w:r>
            <w:r>
              <w:rPr>
                <w:rFonts w:hint="eastAsia" w:ascii="宋体" w:hAnsi="宋体" w:eastAsia="宋体" w:cs="宋体"/>
                <w:i w:val="0"/>
                <w:iCs w:val="0"/>
                <w:color w:val="000000"/>
                <w:sz w:val="21"/>
                <w:szCs w:val="21"/>
                <w:u w:val="none"/>
                <w:lang w:val="en-US" w:eastAsia="zh-CN" w:bidi="ar"/>
              </w:rPr>
              <w:t xml:space="preserve">彩色≥0.005</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2.传感器类型：1/3" Progressive Scan CMOS,内置GPU芯片；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3.1个内置麦克风，1个内置扬声器，支持双向语音对讲；</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4.支持白光灯补光，当白光灯开启时，可识别距离50米处的人体轮廊；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▲5.支持智能报警防干扰功能，智能分析行为类型为区域入侵、越界入侵、进入区域、离开区域时，报警检测目标设置为人体或车辆时，光线明暗变化，篮球滚动，狗行走，树摇晃，不触发报警</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当报警产生时，可触发联动声音报警，报警声音类型不少于10种，报警音量和重复次数可设置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6.支持对出现在监控场景内的两眼瞳距不小于19像素的面部进行检验，并叠加目标提示框；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▲7.支持同时对经过设定检测区域内的不低于10个行人进行人员面部检测、跟踪、评分和抓拍。可筛选和抓拍最佳人员面部图片存储及上报中心。抓拍图片数量、大小可设，支持上传全景照；</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8.支持1路报警输入，1路报警输出，</w:t>
            </w:r>
            <w:r>
              <w:rPr>
                <w:rFonts w:hint="eastAsia" w:ascii="宋体" w:hAnsi="宋体" w:eastAsia="宋体" w:cs="宋体"/>
                <w:i w:val="0"/>
                <w:iCs w:val="0"/>
                <w:color w:val="000000"/>
                <w:sz w:val="21"/>
                <w:szCs w:val="21"/>
                <w:highlight w:val="none"/>
                <w:u w:val="none"/>
                <w:lang w:val="en-US" w:eastAsia="zh-CN" w:bidi="ar"/>
              </w:rPr>
              <w:t xml:space="preserve">1路音频输入，1路音频输出；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9.支持DC12 V，100 mA电源输出，用于拾音器供电；支持PoE供电功能。</w:t>
            </w:r>
            <w:r>
              <w:rPr>
                <w:rFonts w:hint="eastAsia" w:ascii="宋体" w:hAnsi="宋体" w:eastAsia="宋体" w:cs="宋体"/>
                <w:i w:val="0"/>
                <w:iCs w:val="0"/>
                <w:color w:val="000000"/>
                <w:sz w:val="21"/>
                <w:szCs w:val="21"/>
                <w:highlight w:val="none"/>
                <w:u w:val="none"/>
                <w:lang w:val="en-US" w:eastAsia="zh-CN" w:bidi="ar-SA"/>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五、异常行为分析报警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像素：400万，最高分辨率不低于2560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1440@25fps，最低照度：彩色≥0.005 </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支持SmartIR，防止夜间红外过曝;支持背光补偿，强光抑制，3D数字降噪，数字宽动态，适应不同使用环境；支持智能补光，红外光补光距离≥50m，白光补光距离≥30m；</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4.宽动态：支持；</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5.接入标准：ONVIF（Profile S &amp; Profile T）；CGI；GB/T28181；</w:t>
            </w:r>
            <w:r>
              <w:rPr>
                <w:rFonts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6.内置麦克风：支持，内置1个麦克风；</w:t>
            </w:r>
            <w:r>
              <w:rPr>
                <w:rFonts w:hint="eastAsia" w:ascii="宋体" w:hAnsi="宋体" w:eastAsia="宋体" w:cs="宋体"/>
                <w:i w:val="0"/>
                <w:iCs w:val="0"/>
                <w:color w:val="000000"/>
                <w:sz w:val="21"/>
                <w:szCs w:val="21"/>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7.设备可同时采用DC12V电源与POE供电,当一路电源停止供电后,可正常工作；</w:t>
            </w:r>
            <w:r>
              <w:rPr>
                <w:rFonts w:hint="eastAsia" w:ascii="宋体" w:hAnsi="宋体" w:eastAsia="宋体" w:cs="宋体"/>
                <w:i w:val="0"/>
                <w:iCs w:val="0"/>
                <w:color w:val="000000"/>
                <w:sz w:val="21"/>
                <w:szCs w:val="21"/>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8.防护等级：IP67。</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158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9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六、异常密度分析报警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拥挤防范摄像机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 1/3" Progressive Scan CMOS；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2.最低照度 彩色：0.005 Lux @（F1.2，AGC ON），0 Lux with Light,支持红外补光，红外作用距离不低于50m,最大图像尺寸2560×1440；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智能侦测：人员密度检测，支持阈值自定义配置，超阈值报警。支持报警的同时有语音友好提示，语言内容有适用于楼梯和场馆的两种可供选择（“上下楼梯，请注意安全”，“注意保持秩序，相互礼让，安全通行”）；</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4.支持智能报警防干扰功能，当在设定的检测范围内出现光线明暗变化、篮球滚动、狗行走、树摇晃时，不触发报警；</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5.支持智能模块加载，加载过程中不需要重启样机，视频画面不丢失；</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6.支持硬件微引导程序OTP写入保护机制，uboot的FLASH存储空间应采用防篡改功能。若非法修改FASH中的内容，可提示异常报错，uboot无法正常启动；</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7.支持固件安全检验功能，摄像机uboot应采用加密存储，通过离线烧写存储器方式写入的uboot执行程序，不能被硬件微引导程序加载执行；</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8.内置1个麦克风，1个扬声器，1路音频输入，1路音频输出，1路报警输入，1路报警输出；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9.至少1个RJ45 10 M/100 M自适应以太网口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10.供电方式 DC：12 V ± 25%，PoE：IEEE 802.3af，CLASS 3。</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七、访客系统</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访客机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主屏采用10.1英寸触摸显示屏，副屏采用10.1英寸非触摸显示屏，分辨率为1280×800；</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SA"/>
              </w:rPr>
              <w:t xml:space="preserve">2.</w:t>
            </w:r>
            <w:r>
              <w:rPr>
                <w:rFonts w:hint="eastAsia" w:ascii="宋体" w:hAnsi="宋体" w:eastAsia="宋体" w:cs="宋体"/>
                <w:i w:val="0"/>
                <w:iCs w:val="0"/>
                <w:color w:val="000000"/>
                <w:sz w:val="21"/>
                <w:szCs w:val="21"/>
                <w:highlight w:val="none"/>
                <w:u w:val="none"/>
                <w:lang w:val="en-US" w:eastAsia="zh-CN" w:bidi="ar"/>
              </w:rPr>
              <w:t xml:space="preserve">集成采用200万高清双目摄像头，摄像头角度可调，可适应不同身高访客登记；</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3.支持身份证识读模块，可读取身份证内容并进行人证比对；</w:t>
            </w:r>
            <w:r>
              <w:rPr>
                <w:rFonts w:hint="eastAsia" w:ascii="宋体" w:hAnsi="宋体" w:eastAsia="宋体" w:cs="宋体"/>
                <w:i w:val="0"/>
                <w:iCs w:val="0"/>
                <w:color w:val="000000"/>
                <w:sz w:val="21"/>
                <w:szCs w:val="21"/>
                <w:highlight w:val="none"/>
                <w:u w:val="none"/>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设备支持访客预约登记、现场登记、签离等功能；</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5.支持通过手机号、验证码、身份证等进行签到，并通过外接打印机打印访客凭条，满足各类访客业务需求；</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6.设备接口丰富，支持USB、网口等接口。</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设备安装所需的网线和电源线各类辅材。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八、前端设备</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交换机（24口POE）</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▲1.交换容量≥672Gbps，包转发率≥126Mpps（以官网或彩页较小值为准）；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2.千兆电口≥24，千兆SFP≥4，支持PoE+供电≥400W；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3.为满足国家安全可控要求,要求CPU国产化（设备厂商自研，非第三方产品），提供权威第三方测试报告截图证明；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▲4.设备支持MODE按钮支持切换为堆叠/POE/清配置模式，解决设备调试复位和忘记密码恢复出厂设置的情况；支持ID指示灯，可快速定位设备位置，提供官网截图证明。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▲1.交换容量≥2.56Tbps，包转发率≥1260Mpps（以官网或彩页较小值为准）；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2.24个万兆SFP+，6个40/100GE QSFP端口 ，支持可插拔的双电源；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3.CPU、NP芯片要求国产化；</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4.为了提高设备散热性能，支持可插拔风扇框，风扇框个数≥4；</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▲5.交换机支持报告攻击事件给网络安全智能系统，与网络安全智能系统和SDN控制器联动，以实现全网安全协防，提供提供中国信息通信研究院、CNAS检测报告证明；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▲6.交换机支持将IP和端口扫描流量重定向给网络安全智能系统进行诱捕，与网络安全智能系统和SDN控制器联动实施反制措施，以实现网络安全协防，提供提供中国信息通信研究院、CNAS检测报告证明。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NVR（64路）</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2个HDMI接口、2个VGA接口、2个RJ45千兆网络接口、2个USB2.0接口、2个USB3.0接口、1个RS232接口、1个RS485接口（可接入RS485键盘）；具有1路音频输入接口、2路音频输出接口，16路报警输入接口、4路报警输出接口；可内置16个SATA接口硬盘,支持64路H.264、H.265格式高清码流接入,支持接入 1T、2T、3T、4T、6T、8T、10T、12TB、14TB、16TB、20TB容量的 SATA接口硬盘；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▲2.支持最大接入带宽384Mbps，最大存储带宽384Mbps，最大转发带宽256Mbps；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3.HDMI1和HDMI2支持最大单路8K（7680×4320）和1080P（1920×1080）异源输出；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4.支持按楼层区域和按通道两种模式对高空抛物事件进行检索。并支持按楼层进行过滤检索，检索结果可以显示楼层信息；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▲5.支持分组管理，支持将接入的视频通道按分组管理；支持以分组方式进行预览、回放和检索；自定义视图支持以分组方式拖动通道进行配置；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▲6.支持网络广播绑定视频通道，支持以通道方式对绑定</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后的视频通道和网络广播进行对讲；</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▲8.支持网络端口扫描行为预警，可自动封禁IP，并上报预警，支持远程下发IP拦截；</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9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NVR（128路）</w:t>
            </w:r>
            <w:r>
              <w:rPr>
                <w:rFonts w:hint="eastAsia" w:ascii="宋体" w:hAnsi="宋体" w:eastAsia="宋体" w:cs="宋体"/>
                <w:i w:val="0"/>
                <w:iCs w:val="0"/>
                <w:color w:val="000000"/>
                <w:sz w:val="21"/>
                <w:szCs w:val="21"/>
                <w:highlight w:val="none"/>
                <w:u w:val="none"/>
              </w:rPr>
            </w:r>
            <w:r/>
          </w:p>
        </w:tc>
        <w:tc>
          <w:tcPr>
            <w:tcW w:w="5944" w:type="dxa"/>
            <w:vAlign w:val="top"/>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4个HDMI接口、2个VGA接口、4个RJ45千兆网络接口、2个USB2.0接口、4个USB3.0接口、1个RS232接口、2个RS485接口（可接入RS485键盘）、1个eSATA接口、1+1冗余电源、1+1冗余风扇；具有1路音频输入接口、2路音频输出接口、16路报警输入接口、8路报警输出接口，可内置24块SATA接口硬盘，支持128路H.264、H.265格式高清码流接入；</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▲2.支持最大接入带宽1024Mbps，最大存储带宽1024Mbps，最大转发带宽1024Mbps；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3.支持接入 1T、2T、3T、4T、6T、8T、10T、12TB、14TB、16TB、18TB、20TB 容量的 SATA接口硬盘；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由冗余电源芯片进行负载均衡控制，当一个电源出现故障时，另一个电源可以接管其工作；在更换故障电源后，可恢复到两个电源协同负载均衡工作；</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▲4.支持选取HDMI3作为8K输出，选取HDMI1/HDMI2作为4K输出，选取HDMI4作为1080P输出，最大支持1路8K+2路4K+1路1080P三组异源输出；</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▲5.在专家模式下，支持高空抛物摄像机按视野进行区域划分，并支持轮巡预览；</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▲7.支持预览的单窗口轮巡，设备支持在多画面的固定窗口上进行轮巡预览，其他预览窗口不轮巡；</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▲8.支持音视频动态调整组合分配功能，可将任一路音频与任一路视频组合成复合流编码；</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▲9.支持前端IPC证书二次校验机制，未通过证书校验的IPC不允许添加到NVR；</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10.支持网络端口扫描行为预警，可自动封禁IP，并上报预警，支持远程下发IP拦截。</w:t>
            </w:r>
            <w:r>
              <w:rPr>
                <w:rFonts w:hint="eastAsia" w:ascii="宋体" w:hAnsi="宋体" w:eastAsia="宋体" w:cs="宋体"/>
                <w:i w:val="0"/>
                <w:iCs w:val="0"/>
                <w:color w:val="000000"/>
                <w:sz w:val="21"/>
                <w:szCs w:val="21"/>
                <w:highlight w:val="none"/>
                <w:u w:val="none"/>
              </w:rPr>
            </w:r>
            <w:r/>
          </w:p>
        </w:tc>
      </w:tr>
      <w:tr>
        <w:trPr>
          <w:trHeight w:val="1478"/>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NVR（256路）</w:t>
            </w:r>
            <w:r>
              <w:rPr>
                <w:rFonts w:hint="eastAsia" w:ascii="宋体" w:hAnsi="宋体" w:eastAsia="宋体" w:cs="宋体"/>
                <w:i w:val="0"/>
                <w:iCs w:val="0"/>
                <w:color w:val="000000"/>
                <w:sz w:val="21"/>
                <w:szCs w:val="21"/>
                <w:highlight w:val="none"/>
                <w:u w:val="none"/>
              </w:rPr>
            </w:r>
            <w:r/>
          </w:p>
        </w:tc>
        <w:tc>
          <w:tcPr>
            <w:tcW w:w="5944" w:type="dxa"/>
            <w:vAlign w:val="bottom"/>
            <w:textDirection w:val="lrTb"/>
            <w:noWrap w:val="false"/>
          </w:tcPr>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4个HDMI接口、2个VGA接口、4个RJ45千兆网络接口、2个USB2.0接口、4个USB3.0接口、1个RS232接口、2个RS485接口、1个eSATA接口、1+1冗余电源、1+1冗余风扇；具有1路音频输入接口、2路音频输出接口、16路报警输入接口、8路报警输出接口，可内置24块SATA接口硬盘，支持256路H.264、H.265格式高清码流接入；</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▲2.支持最大接入带宽1024Mbps，最大存储带宽1024Mbps，最大转发带宽1024Mbps；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3.支持接入 1T、2T、3T、4T、6T、8T、10T、12TB、14TB、16TB、18TB、20TB 容量的 SATA接口硬盘，支持选取HDMI3作为8K输出，选取HDMI1/HDMI2作为4K输出，选取HDMI4作为1080P输出，最大支持1路8K+2路4K+1路1080P三组异源输出；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4.在专家模式下，支持高空抛物摄像机按视野进行区域划分，并支持轮巡预览；</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▲6.支持预览时对实时视频流进行手动打标签，通过标签检索可以检索到相关的录像片段；</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7.支持预览的单窗口轮巡，设备支持在多画面的固定窗口上进行轮巡预览，其他预览窗口不轮巡；</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8.支持查看在线用户信息，包括用户名、用户类型、IP地址和用户最后操作时间等维护信息；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9；支持音频设备与视频设备独立管理，支持网络拾音器的接入、校时；最大16路音频设备管理；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边缘计算主机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16块SATA接口硬盘，支持64路H.264、H.265格式高清码流接入；</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▲2.支持64个人脸库，库容50万张人脸图片；支持路人库，库容30万张人脸抓拍图片，人脸在低头角度不超过 20°，左右侧脸不超过 45°情况下，人脸检出率不小于98%；</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3.支持40路视频流人脸识别，支持64路图片流人脸识别，并支持联动录像、抓图、报警和日志记录；</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4.支持接入非智能IPC、人脸抓拍机、客流相机实现客流统计功能，支持多通道自由分组，可根据IPC点位部署的物理位置动态调整客流统计分组，同一个IPC点位支持被不同分组使用；</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▲5.支持人员档案聚合，一人一档功能，可将陌生人自动归入到档案库，并统计和展示每个陌生人出现的次数，多次出现的陌生人，设备自动选取一张评分最高的人脸图片作为人员档案封面；</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▲6.周界大模型支持视频分析、图片分析、图片二次分析过滤，支持手动选择开启周界大模型，启用后可将周界报警误报降低99%；</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7.可通过设备本地GUI画面、电脑客户端和手机客户端展示高空抛物事件，并支持回放高空抛物轨迹信息，支持联动录像、抓图、蜂鸣报警、预置点、邮件、本地报警输出、IPC报警输出以及日志记录；</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▲8.支持将预览监视画面和回放画面进行视频冻结，通过手动和自动的方式框选人/车目标，将所选目标与数据库中的历史目标抓拍数据进行比对检索，检索结果可根据相似度或抓拍时间进行排序展示；</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9.支持音频设备与视频设备独立管理，支持网络拾音器的接入、校时；最大支持64路音频设备管理；</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8T硬盘</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单盘容量：8TB；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硬盘接口：SATA；</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转速：7200RPM；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缓存：256MB</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九、视频AI算法服务器配置</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超融合服务器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硬件需求：</w:t>
            </w:r>
            <w:r>
              <w:rPr>
                <w:rFonts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▲1.单节点配置≥2颗国产处理器，单颗处理器≥2.6GHz主频，≥32个物理核；</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2.单节点配置≥256GB DDR4内存；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3.单节点配置≥2块480G SATA SSD系统盘，≥1块1.6TB读写混合型NVME SSD缓存盘，≥4块4T SATA HDD数据盘；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4.单节点配置≥4*10Gb光口(满配10Gb多模光模块) ，配置≥4*1Gb电口；</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5.单节点配置≥1块RAID卡，支持RAID0/1/10/5/6，2G缓存；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6.提供超融合节点配套虚拟化、分布存储、管理等软件授权；</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服务器性能：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1.超融合虚拟化软件、分布式存储软件具有国产软件自主知识产权，具有自主研发能力，保障后续产品的连续性，提供国家版权局颁发的《计算机软件著作权登记证书》复印件证明。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超融合底层操作系统具有国产软件自主知识产权，具有自主研发能力，HostOS需具备“计算机信息系统安全专用产品销售许可证”或“网络安全专用产品安全检测证书”，提供国家版权局颁发的《计算机软件著作权登记证书》复印件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为支持快速故障排查和硬件信息实时展示、查询功能，管理平台支持服务器的电源、风扇、CPU、内存、磁盘和网卡的硬件信息查看和监控告警，管理平台设备管理界面的硬件部件展示信息与实际一一对应，所见即所得，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▲4.为实现多云平台的异构虚拟化资源融合，更便于对现网平台的集中管理，支持第三方异构虚拟化平台纳管功能，提供软件界面截图证明。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障虚拟机的计算资源分配，实现资源业务隔离以便满足不同业务的要求、提高资源利用率，平台需支持虚拟机的CPU、网络、IOPS的QoS进行设置功能，支持对存储卷级的QoS，提供对IOPS、带宽进行精细化控制的功能，满足不同应用的性能需求。</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6.为解决数据流动问题，并节约IT硬件投资，平台需支持提供统一存储服务，超融合集群同时支持块存储、NAS文件存储和Object对象存储的融合存储功能，本次项目需要实配对应存储容量的块+文件存储授权。</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为避免传统设备停机进行数据迁移的方式，保证业务连续性，系统支持在线副本策略转换与修改功能，在线执行副本策略转换无需进行存储池间的数据迁移，数据自动在原存储池内进行副本数量调整，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▲8.平台内置备份支持自动校验功能，可进行校验周期设置、检验速度设置、开始时间设置，需具备≥4种主流校验类型方式，至少包含MD5、CRC32、SHA1、SM3校验方式，提供软件界面截图证明。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国产化数据库</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1.产品符合安全可靠测评要求，通过中国信息安全测评中心测评；</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2.产品拥有自主知识产权，完全自主可控，达到《信息技术产品自主原创测评要求》（试行）中的要求，且产品核心功能模块的核心源码自主代码比例不低于95%；</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▲3.提供重建单个分区本地索引的功能，并支持使用类似 ALTER INDEX REBUILD PARTITION 的语法进行重建，需提供具备CMA资质或CNAS认可的检测机构出具并加盖对应资质标识的测试报告；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▲4.提供重命名触发器功能，并支持类似ALTER TRIGGER...RENAME TO的语法进行重命名，需提供具备CMA资质或CNAS认可的检测机构出具并加盖对应资质标识的测试报告；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▲5.提供跨模式触发器功能，支持触发器通过其他模式表触发操作，需提供具备CMA资质或CNAS认可的检测机构出具并加盖对应资质标识的测试报告；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6.兼容Oracle的ANYTYPE、ANYDATA、ANYDATASET类型，并支持ANYDATA和ANYDATASET类型的存储功能；（2）兼容Oracle的COLLECT（聚合为集合）函数、带within和不带within子句的LISTAGG（字符串拼接）函数；</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兼容Oracle的DBA_*、ALL_*和USER_*开头的数据字典视图、系统包；兼容PL/SQL语法和数据操作；兼容Oracle、Mysql、SQLServer、DB2、PostgreSQL的常用系统函数；实现对数据查询语言（DQL)、数据操纵语言(DML)和数据定义语言(DDL)的兼容；</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8.支持物理备份及恢复，包括全量、增量和差异备份及恢复功能；支持恢复到指定时间点；支持归档备份；支持自动备份；支持备份压缩；支持逻辑备份及还原，包括数据库级、模式级、用户级、表级；</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9.支持共享存储集群为主库、单机为备库的主备集群架构，并且该集群具备故障自动切换、故障恢复和恢复回切的功能；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共享存储集群的自动存储管理(ASM)支持镜像和条带化功能。用户可以在集群上新建镜像磁盘组，并查看磁盘组的故障组信息和磁盘信息。同时，也可以创建带有镜像和条带属性的数据文件，并通过查询操作获取到镜像属性和条带化信息。提供带有CNAS或CMA标识的测试报告扫描件并加盖投标人公章。</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1.国产品牌；</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▲2.配置≥2颗国产CPU，每颗CPU核心数≥24核，基准频率≥2.6GHz，服务器CPU须符合安全可靠测评要求；需提供中国安全信息测评中心公布的安全可靠测评结果公告</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3.配置≥2*32GB DDR4内存；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4.配置≥4块600GB SAS HDD；</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5.配置≥1块RAID卡，支持RAID 0/1/10/5/6，2G缓存；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6.配置≥2块GPU卡，单张GPU卡不低于130TOPS INT8算力,显存不低于16GB；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7.配置≥4个1Gb电口，≥2个10Gb光口(满配10Gb多模光模块)；</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8.配置≥2个900W交流电源，支持1+1冗余。</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1.天线接口：BNC，1路，稳定度≤10 ns（σ）；</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2.面板显示：配置高亮度OLED液晶 支持轮循显示卫星状态、时间、卫星个数、网络、系统工作状态；</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3.WEB管理：1） WEB设置：NTP设置，网络设置 2） NTP状态：NTP服务器和授时客户端的同步和时间偏差情况, GPS状态：包括GPS卫星数，服务器部署位置的经纬度和高度，卫星时间，服务器时间以及参考源的同步情况；</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4.授时模式：支持NTP Peer Client/Server Broadcast Multicast；</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5.卫星接收机：支持GPS、北斗二代双参考源；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6.高可靠性：双路220V冗余电源 支持双机热备 支持网卡绑定。</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校时服务器配套材料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校时服务器配套线材和避雷器等</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十、管理平台</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海安市智慧安防云管理平台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详见平台功能清单</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712"/>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十一、技防校园安防指挥中心</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室内全彩LED显示屏</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尺寸：3.2米（长）*1.76米 （高），提供两张备用板</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1.点间距：≤1.8mm，刷新率：≥3840Hz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2.像素密度:288906Dots/㎡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3.像素点间距：1.8mm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4.白平衡亮度：0-700cd/㎡可调；亮度均匀性：≥99%</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5.水平视角≥170°；垂直视角≥170°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6.对比度≥8500：1</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7.峰值功耗≤300W/m²；平均功耗≤120W/m²</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8.供电电源：在4.2*（1±10%）VDC～4.5*（1±10%）VDC范围内能正常工作</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9.防护性能：具有防静电、防电磁干扰、防腐蚀、防霉菌、防虫、防潮、抗震动、抗雷击等功能；具有电源过压、过流、断电保护、分布上电措施、防护等级达到IP60</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10.色度均匀性±0.001Cx、Cy内；色域空间≥120% NTSC，ColorSPace覆盖率≥170%YUV(PAL)</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显示屏电源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SA"/>
              </w:rPr>
              <w:t xml:space="preserve">1.</w:t>
            </w:r>
            <w:r>
              <w:rPr>
                <w:rFonts w:hint="eastAsia" w:ascii="宋体" w:hAnsi="宋体" w:eastAsia="宋体" w:cs="宋体"/>
                <w:i w:val="0"/>
                <w:iCs w:val="0"/>
                <w:color w:val="000000"/>
                <w:sz w:val="21"/>
                <w:szCs w:val="21"/>
                <w:highlight w:val="none"/>
                <w:u w:val="none"/>
                <w:lang w:val="en-US" w:eastAsia="zh-CN" w:bidi="ar"/>
              </w:rPr>
              <w:t xml:space="preserve">显示屏开关电源 工作温度 -25℃-+70℃ </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2.低温启动特性 @-40℃ -25℃，220Vac 输入,热机 5 分钟，带载 40A，</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3.储存温度  -40℃-85℃</w:t>
            </w:r>
            <w:r>
              <w:rPr>
                <w:rFonts w:hint="eastAsia" w:ascii="宋体" w:hAnsi="宋体" w:eastAsia="宋体" w:cs="宋体"/>
                <w:i w:val="0"/>
                <w:iCs w:val="0"/>
                <w:color w:val="000000"/>
                <w:sz w:val="21"/>
                <w:szCs w:val="21"/>
                <w:highlight w:val="none"/>
                <w:u w:val="none"/>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4.工作湿度 20%RH-90%RH  </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5.储存湿度 10%RH-95%RH </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6.短路保护  可长期短路，消除短路后自动恢复工作</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7.过流保护  48~76A 故障消除后自动恢复</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8.工作额定输出电压 V1:+4.5Vdc</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9.额定输出电流范围 0～40.0A</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10.容性负载至少 5000uF   </w:t>
            </w:r>
            <w:r>
              <w:rPr>
                <w:rFonts w:hint="eastAsia" w:ascii="宋体" w:hAnsi="宋体" w:eastAsia="宋体" w:cs="宋体"/>
                <w:i w:val="0"/>
                <w:iCs w:val="0"/>
                <w:color w:val="000000"/>
                <w:sz w:val="21"/>
                <w:szCs w:val="21"/>
                <w:highlight w:val="none"/>
                <w:u w:val="none"/>
              </w:rPr>
            </w:r>
            <w:r/>
          </w:p>
        </w:tc>
      </w:tr>
      <w:tr>
        <w:trPr>
          <w:trHeight w:val="5854"/>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接收卡</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1.集成12个HUB75，无需再配转接板；</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2.单卡最大带载192×1024像素，最多支持24组并行数据；</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3.支持8bit色深视频源输入输出，单色灰阶为256，可搭配出16777216种混合色彩；</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4.支持自适应帧率技术，不仅支持23.98/24/29.97/30/50/59.94/60Hz常规及非整数帧率，还可输出显示120/240Hz高帧率画面，大幅提升画面流畅度、减少拖影；</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5.支持色温调节，提供调整色温，即饱和度调节，增强画面表现力；</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6.8bit/14bit精度的色度，亮度一体化逐点校正，能有效消除灯点色差，保证整屏的颜色亮度的均匀性和一致性，提升整体显示效果；</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7.检测接收卡之间数据传输质量和误码情况，可以方便快捷地识别出硬件连接异常的箱体，便于维护；</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▲8.一帧延迟，发送端到显示端延迟达到一帧，解决系统延迟导致的画面不同步问题；提供CNAS检测报告证明</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▲9.通过对伽马表算法的优化，使得显示屏在降低亮度时能保持灰阶的完整无损失、完美显示，呈现低亮度高灰阶的显示效果。提供CNAS检测报告证明。</w:t>
            </w:r>
            <w:r>
              <w:rPr>
                <w:rFonts w:hint="eastAsia" w:ascii="宋体" w:hAnsi="宋体" w:eastAsia="宋体" w:cs="宋体"/>
                <w:i w:val="0"/>
                <w:iCs w:val="0"/>
                <w:color w:val="000000"/>
                <w:sz w:val="21"/>
                <w:szCs w:val="21"/>
                <w:highlight w:val="none"/>
                <w:u w:val="none"/>
                <w:lang w:val="en-US" w:eastAsia="zh-CN" w:bidi="ar"/>
              </w:rPr>
            </w:r>
            <w:r/>
          </w:p>
        </w:tc>
      </w:tr>
      <w:tr>
        <w:trPr>
          <w:trHeight w:val="4657"/>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视频处理器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1.最大1920X1080@60Hz输入分辨率；</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2.最大带载260万像素，4路千兆网口输出；</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3.最宽3840像素点或最高2000像素点；</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4.支持5路信号输入:2xHDMI1.4，1xDVI，1xVGA，1xCVBS，1路U盘输入；</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5.支持网口备份；</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6.支持1路独立音频输入，1路独立音频输出；</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7.支持HDMI、U-DISK音频解析输出；</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8.支持OSD，通过红外遥控器达到控制显示屏休眠与唤醒、亮度、色温调节等功能；</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9.为了保证HDMI或者DVI传输的高清晰信号不会被非法录制，设备具备HDCP1.4技术；</w:t>
            </w:r>
            <w:r>
              <w:rPr>
                <w:rFonts w:hint="eastAsia" w:ascii="宋体" w:hAnsi="宋体" w:eastAsia="宋体" w:cs="宋体"/>
                <w:i w:val="0"/>
                <w:iCs w:val="0"/>
                <w:color w:val="000000"/>
                <w:sz w:val="21"/>
                <w:szCs w:val="21"/>
                <w:highlight w:val="none"/>
                <w:u w:val="none"/>
                <w:lang w:val="en-US" w:eastAsia="zh-CN" w:bidi="ar"/>
              </w:rPr>
            </w:r>
            <w:r/>
          </w:p>
          <w:p>
            <w:pPr>
              <w:pStyle w:val="712"/>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▲10.节能环保，可通过与多功能卡的配合实现自动亮度调节功能，根据环境照度的改变自动调节显示屏的亮度，达到最佳的显示效果。提供CNAS检测报告证明。</w:t>
            </w:r>
            <w:r>
              <w:rPr>
                <w:rFonts w:hint="eastAsia" w:ascii="宋体" w:hAnsi="宋体" w:eastAsia="宋体" w:cs="宋体"/>
                <w:i w:val="0"/>
                <w:iCs w:val="0"/>
                <w:color w:val="000000"/>
                <w:sz w:val="21"/>
                <w:szCs w:val="21"/>
                <w:highlight w:val="none"/>
                <w:u w:val="none"/>
                <w:lang w:val="en-US" w:eastAsia="zh-CN" w:bidi="ar"/>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室内显示屏钢结构框架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尺寸不低于尺寸：3.2米（长）*1.76米 （高）</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钢结构支架由国标型钢焊接制作，防腐、防锈处理，前维护。包含大屏包边处理。</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1.高音：25芯钛膜高音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2.低音：8寸35芯156磁低音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3.频率响应：50Hz-20KHz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4.额定功率：150W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5.峰值功率：600W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6.灵敏度：92db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7.阻抗：8ohm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8.辐射角度：90度(H)x60度(V)</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1.立体声功率：8Ω 2×250W；4Ω 2×400W</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2.信噪比：＞113dB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3.转换速率：80V/us</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4.阻尼系数：400：1</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5.频率响应：20Hz-20KHz，＜+/-0.1dB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6.总谐波失真：＜0.02%Ratedpower@8欧1kHZ</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7.互调失真：≦0.01%Ratedpower@8欧</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8.输入灵敏度：0.775V，1.0V，1.5V</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9.输入阻抗：10K/20Kohous，unbalancedor balanced</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10.共模拟制比：≦-75db</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11.串音衰减：≦-70db</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音箱壁挂支架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1.黑色、全钢制作、表面喷漆处理，坚固可靠；</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2.承重≥35kg；</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3.可往左右上下方调节音箱的角度；</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4.后方带以音箱深度来调节定位的横形压条；</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5.下方倾斜角度：≥30度；</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6.左右转动角度：≥180度。</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1.具备中文操作的网页界面，提供直观且图形化的软件控制界面；</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2.具有开放的第三方控制协议，可以通过UDP或RS-232管理、控制音频处理器；</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3.具有≥8路平衡式话筒／线路输入，具有48V幻象供电软开关；≥8路平衡式线路输出；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4.具有≥1个USB2.0音频接口，支持接U盘录制和播放；</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5.多种参量均衡类型可选，包含PEQ、High-Shelf、Low-Shelf、LP、HP；</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6.输入通道具有自动增益、信号发生器、扩展器、压缩器、10段参量均衡调节功能；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7.输出通道功能具有≥10段、≥15段、≥31段参量均衡调节、延时器、分频器、高低通滤波器、限幅器功能；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8.具有自适应反馈消除AFC功能，高速浮点的数字算法为每路麦克风提供反馈抑制，能够抑制系统啸叫；</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9.具有自动增益控制AGC功能，能够使音响系统的输出音量平稳，演讲者与话筒之间的距离变化不会影响观众区域的音量；</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10.智能闪避器DUCKER能够通过麦克风轻松抑制背景音乐信号，从而更加突出人声；</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11.产品具备摄像跟踪功能，可实现48V幻象供电麦克实现语音跟踪，根据语音阀值对应相应的麦克跟踪，摄像机支持PELCO_D、PELCO_P、VISCA等协议；</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12.存储：预设≥50组。</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1.2编组4母线调音台；</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2.≥8路线路输入+1组立体声输入，特设录音功能256/24BitDSP效果器；</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3.内置多格式MP3播放器，具备蓝牙功能；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4.MP3音源可转入本机立体声声道进行调音或混合；</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5.分路3段美式EQ加中频可选，带显示哑音选择开关；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6.≥6路母线（BUS）：主输出+两编组+监听室输出+录音输出与返回；</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7.在无需外置设备下可独立完成6路不同音源的输出；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8.2路AUX外接与返回，9段主控均衡；</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9.100MM长行程推子控制；</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10.内置48V幻象电源供电，内置110V-240V变电压工作电源。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会议话筒</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1.加长型超指向话筒咪头，有效增加拾音距离；</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2.航空式接插键，鹅颈与底座可分开式，附件：防风海棉罩/10米平行线。</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反馈抑制器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▲1.采用自适应环境啸叫抑制算法，采用高速浮点数字音频处理器和先进的自带降噪消除技术，可快速自动完全消除啸叫和背景噪声。提供国家认可的第三方检测机构出具的有效检测报告复印件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2.内置自适应动态噪声滤波器，可滤掉现场环境的背景噪声但不影响语音信号传送。</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▲3.系统智能AGC双向电平控制技术，可以获得到清晰、持续、大小均匀的语音输出，保持讲话声调的连贯和语音清楚，可以提升增益达8-15dB，话筒拾音距离0.5-1.2米。</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4.内置≥24Bit A/D、D/A转换；≥24位DSP浮点运算处理器，≥96KHz高速采样。提供国家认可的第三方检测机构出具的有效检测报告复印件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▲5.一键智能免人工调试，无论房间环境中位置、温度、湿度、装饰的改变，系统安装都无需进行声场调试。提供国家认可的第三方检测机构出具的有效检测报告复印件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▲6.键盘上锁功能：当管理员将设备调试完后，再将面板按键锁住，防止非管理员进行操作。提供国家认可的第三方检测机构出具的有效检测报告复印件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7.菜单可以中英文切换。</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8.≥2英寸彩色显示屏显示参数状态。</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9.≥2路可独立的48V幻象电源。</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10.具有≥1路USB接口，可以通过PC端软件进行10段图示均衡、反馈开关、降噪开关等功能设置。</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1.具有8路通道电源（220V/13A）时序打开/关闭；</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2.前面2组电源输出接口（220V/16A），前面板USB电源口，可接USB LED灯；</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3.产品8路通道电源开关状态可由面板显示；</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4.前面板显示屏幕，实时显示当前电压；</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5.通过面板一键开关，可时序关启通道，实现时序功能；</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6.带232接口，可受中控设备控制，支持联机控制，可支持9台设备同时联机使用；</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7.远程控制（上电+24V直流信号）8通道电源时序打开/关闭--当电源开关锁处于off位置时有效；</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8.当远程控制有效时同时控制后板端口导通--起到级联控制功能。</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各类音响箱、音频线和屏体内配套线材等</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控制终端</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控制终端8G 1TB+128G固态 +21.5英寸高清显示器</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1.四联操作台，每联长度定制，高不低于750mm，后立安装板到地总高度不低于930mm，侧板高度不低于950mm，每联之间有链接孔可多联任意链接。</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2.柜内空间标准带可以上下调节拆卸式托盘，以便放置工控机，电源放大器，控制器，主机等设备。                      </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3.内部托盘，整体厚度不小于1.0mm。</w:t>
            </w:r>
            <w:r>
              <w:rPr>
                <w:rFonts w:hint="eastAsia" w:ascii="宋体" w:hAnsi="宋体" w:eastAsia="宋体" w:cs="宋体"/>
                <w:i w:val="0"/>
                <w:iCs w:val="0"/>
                <w:color w:val="000000"/>
                <w:sz w:val="21"/>
                <w:szCs w:val="21"/>
                <w:highlight w:val="none"/>
                <w:u w:val="none"/>
                <w:lang w:val="en-US" w:eastAsia="zh-CN" w:bidi="ar"/>
              </w:rPr>
            </w:r>
            <w:r/>
          </w:p>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4.冷轧钢框架：主框架厚度1.5mm-2.0mm冷轧钢，工艺：表面经过酸洗磷化，提高耐腐蚀性能，延长使用寿命，改善外观质量，防静电喷塑涂层处理，环保无害，表面质量高。</w:t>
            </w:r>
            <w:r>
              <w:rPr>
                <w:rFonts w:hint="eastAsia" w:ascii="宋体" w:hAnsi="宋体" w:eastAsia="宋体" w:cs="宋体"/>
                <w:i w:val="0"/>
                <w:iCs w:val="0"/>
                <w:color w:val="000000"/>
                <w:sz w:val="21"/>
                <w:szCs w:val="21"/>
                <w:highlight w:val="none"/>
                <w:u w:val="none"/>
              </w:rPr>
            </w:r>
            <w:r/>
          </w:p>
        </w:tc>
      </w:tr>
      <w:tr>
        <w:trPr>
          <w:trHeight w:val="51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配套椅子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地面开槽布管穿线恢复</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按照指挥中心功能需求，地面及墙面开槽布管穿线恢复，建筑垃圾必须装袋清运，送到垃圾回收站。</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指挥中心防水工作</w:t>
            </w:r>
            <w:r>
              <w:rPr>
                <w:rFonts w:hint="eastAsia" w:ascii="宋体" w:hAnsi="宋体" w:eastAsia="宋体" w:cs="宋体"/>
                <w:i w:val="0"/>
                <w:iCs w:val="0"/>
                <w:color w:val="000000"/>
                <w:sz w:val="21"/>
                <w:szCs w:val="21"/>
                <w:highlight w:val="none"/>
                <w:u w:val="none"/>
              </w:rPr>
            </w:r>
            <w:r/>
          </w:p>
        </w:tc>
      </w:tr>
      <w:tr>
        <w:trPr>
          <w:trHeight w:val="40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空调移机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含辅材</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指挥中心背景墙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根据采购人需求，深化设计经确认后制作安装</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维修出新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因墙面受潮及顶面细微变形，需维修及出新，顶面墙面腻子修补，环保乳胶漆出新。</w:t>
            </w:r>
            <w:r>
              <w:rPr>
                <w:rFonts w:hint="eastAsia" w:ascii="宋体" w:hAnsi="宋体" w:eastAsia="宋体" w:cs="宋体"/>
                <w:i w:val="0"/>
                <w:iCs w:val="0"/>
                <w:color w:val="000000"/>
                <w:sz w:val="21"/>
                <w:szCs w:val="21"/>
                <w:highlight w:val="none"/>
                <w:u w:val="none"/>
              </w:rPr>
            </w:r>
            <w:r/>
          </w:p>
        </w:tc>
      </w:tr>
      <w:tr>
        <w:trPr>
          <w:trHeight w:val="450"/>
        </w:trPr>
        <w:tc>
          <w:tcPr>
            <w:tcW w:w="552"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窗帘</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更换为全遮光窗帘，现场定制</w:t>
            </w:r>
            <w:r>
              <w:rPr>
                <w:rFonts w:hint="eastAsia" w:ascii="宋体" w:hAnsi="宋体" w:eastAsia="宋体" w:cs="宋体"/>
                <w:i w:val="0"/>
                <w:iCs w:val="0"/>
                <w:color w:val="000000"/>
                <w:sz w:val="21"/>
                <w:szCs w:val="21"/>
                <w:highlight w:val="none"/>
                <w:u w:val="none"/>
              </w:rPr>
            </w:r>
            <w:r/>
          </w:p>
        </w:tc>
      </w:tr>
    </w:tbl>
    <w:p>
      <w:pPr>
        <w:pStyle w:val="712"/>
        <w:numPr>
          <w:ilvl w:val="0"/>
          <w:numId w:val="0"/>
        </w:numPr>
        <w:ind w:firstLine="482"/>
        <w:spacing w:line="560" w:lineRule="exact"/>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r>
      <w:r/>
    </w:p>
    <w:p>
      <w:pPr>
        <w:pStyle w:val="712"/>
        <w:numPr>
          <w:ilvl w:val="0"/>
          <w:numId w:val="0"/>
        </w:numPr>
        <w:ind w:firstLine="482"/>
        <w:spacing w:line="56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eastAsia="宋体" w:cs="宋体"/>
          <w:b/>
          <w:bCs w:val="0"/>
          <w:color w:val="000000"/>
          <w:sz w:val="24"/>
          <w:szCs w:val="24"/>
          <w:highlight w:val="none"/>
          <w:lang w:val="en-US" w:eastAsia="zh-CN"/>
        </w:rPr>
        <w:t xml:space="preserve">软件平台部分</w:t>
      </w:r>
      <w:r>
        <w:rPr>
          <w:rFonts w:hint="eastAsia" w:ascii="宋体" w:hAnsi="宋体" w:eastAsia="宋体" w:cs="宋体"/>
          <w:b/>
          <w:bCs w:val="0"/>
          <w:color w:val="000000"/>
          <w:sz w:val="24"/>
          <w:szCs w:val="24"/>
          <w:highlight w:val="none"/>
          <w:lang w:val="en-US" w:eastAsia="zh-CN"/>
        </w:rPr>
      </w:r>
      <w:r/>
    </w:p>
    <w:tbl>
      <w:tblPr>
        <w:tblpPr w:horzAnchor="page" w:tblpX="1692" w:vertAnchor="text" w:tblpY="425"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806"/>
        <w:gridCol w:w="1126"/>
        <w:gridCol w:w="1379"/>
        <w:gridCol w:w="4839"/>
      </w:tblGrid>
      <w:tr>
        <w:trPr>
          <w:trHeight w:val="559"/>
        </w:trPr>
        <w:tc>
          <w:tcPr>
            <w:tcW w:w="567"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806"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模块</w:t>
            </w:r>
            <w:r>
              <w:rPr>
                <w:rFonts w:hint="eastAsia" w:ascii="宋体" w:hAnsi="宋体" w:eastAsia="宋体" w:cs="宋体"/>
                <w:b/>
                <w:bCs/>
                <w:i w:val="0"/>
                <w:iCs w:val="0"/>
                <w:color w:val="000000"/>
                <w:sz w:val="21"/>
                <w:szCs w:val="21"/>
                <w:highlight w:val="none"/>
                <w:u w:val="none"/>
              </w:rPr>
            </w:r>
            <w:r/>
          </w:p>
        </w:tc>
        <w:tc>
          <w:tcPr>
            <w:tcW w:w="1126"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一级功能</w:t>
            </w:r>
            <w:r>
              <w:rPr>
                <w:rFonts w:hint="eastAsia" w:ascii="宋体" w:hAnsi="宋体" w:eastAsia="宋体" w:cs="宋体"/>
                <w:b/>
                <w:bCs/>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二级功能</w:t>
            </w:r>
            <w:r>
              <w:rPr>
                <w:rFonts w:hint="eastAsia" w:ascii="宋体" w:hAnsi="宋体" w:eastAsia="宋体" w:cs="宋体"/>
                <w:b/>
                <w:bCs/>
                <w:i w:val="0"/>
                <w:iCs w:val="0"/>
                <w:color w:val="000000"/>
                <w:sz w:val="21"/>
                <w:szCs w:val="21"/>
                <w:highlight w:val="none"/>
                <w:u w:val="none"/>
              </w:rPr>
            </w:r>
            <w:r/>
          </w:p>
        </w:tc>
        <w:tc>
          <w:tcPr>
            <w:tcW w:w="4839" w:type="dxa"/>
            <w:vAlign w:val="center"/>
            <w:textDirection w:val="lrTb"/>
            <w:noWrap w:val="false"/>
          </w:tcPr>
          <w:p>
            <w:pPr>
              <w:pStyle w:val="712"/>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功能需求描述</w:t>
            </w:r>
            <w:r>
              <w:rPr>
                <w:rFonts w:hint="eastAsia" w:ascii="宋体" w:hAnsi="宋体" w:eastAsia="宋体" w:cs="宋体"/>
                <w:b/>
                <w:bCs/>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视频汇聚</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设备数据总览</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总览当前设备总量、设备在线设备数、离线设备数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电子地图展示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以点位展示设备位置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设备信息卡片</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对指定点位摄像头二级下钻打开该点位，展示设备标签信息、实时视频播放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实时视频</w:t>
            </w: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摄像机树形导航列表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根据“区划、设备来源”目录树展示设备</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按设备状态和名称排序</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根据每个目录树的关键字进行查询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设备查询</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根据设备名称、通道编号直接查询设备</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实时视频播放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点击摄像机列表播放设备实时画面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多屏播放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1、4分屏播放，单/多窗口全屏</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视频播放器插件，用于多分屏播放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视频流信息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显示实时视频流码率、分辨率以及客户端实时网速</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云台控制</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PTZ云台控制，控制类型：上、下、左、右，转速5档可调节</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截屏</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视频截图保存至本地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录屏</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某段录像保存至本地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音量控制</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实时画面音量的调节</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预置位</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云台设备可新增/调用/删除预置点位</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设备轮播</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自定义设备自动轮播设置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以列表形式展现历史视频文件，具体包括开始时间、结束时间、文件大小等</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NVR历史视频播放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本地NVR历史视频回放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NVR历史视频下载</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历史视频单个下载</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设备信息管理（一机一档）</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设备信息列表对汇聚至平台的设备信息进行展示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存储配置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对设备的视频存储配置进行管理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经纬度设置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对设备的经纬度信息进行设置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对设备的名称进行编辑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设备信息导出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批量导出平台中的设备信息，可通过筛选设备和勾选设备进行批量导出</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设备直连接入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设备直连IPC和NVR设备通过国标协议，进行信息输入后生成相关信息，并在设备后台进行配置后完成设备直连进平台，对接利旧和新增摄像头。</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国标上级联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对将已经接入到本平台中的设备通过国标上级联的方式上传到第三方平台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国标下级联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通过国标协议将下级平台的设备接入至本平台中。</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平台API接入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对接各类视频平台间设备接入。平台接入需配置IP、端口、AK、SK等信息后完成平台对接</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原雪亮工程校园监控的接入、平台展示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客户管理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机构客户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创建和管理机构客户账号</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监管客户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创建和管理监管客户账号，并为监管客户账号绑定机构</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视图库管理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视图空间</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创建视图空间实现对不同类型、不同来源的设备和视图内容进行分门别类管理</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视图上级联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将平台内的视图内容通过上级联方式上传到第三方平台，并可查看上级平台订阅记录和日志</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视图下级联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通过下级联方式将下级平台的设备和视图内容对接至本平台中，并可新增订阅和查看订阅日志</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节点管理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接入节点管理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用户对平台接入节点信息管理，包括节点编号、节点名称和区域等信息</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服务监控</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服务器监测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对服务器的CPU、内存、磁盘使用情况进行监测，并对异常服务器进行告警标记</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新增服务器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新增需监测的服务器资源，需服务器具备监测能力对接（GPU服务器、容器服务器）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告警阈值设置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对服务器的GPU、CPU、内存、磁盘进行告警阈值的设置，及开关启用</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开放API</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接口库管理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添加系统内的API接口信息进行统一管理，并可对API接口查看详情、编辑、删除和移动分组等操作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能力组管理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创建接口能力组并将接口与能力组关联，以便对外输出能力</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应用管理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以应用的方式让第三方平台调用能力，查看应用详情并进行能力授权</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视频AI管理</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数据驾驶舱</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数据概览</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数据统计展示平台用户账号数、算法池算法数、算法总路数、AI设备总数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用户数据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数据统计展示用户算法使用排行，客户算法路数分布、客户AI设备量分布</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AI告警数据统计</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数据统计展示AI告警数量、类型占比等</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告警数据展示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前端面部识别数据展示，AI告警数据列表展示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算力管理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云端算力新增</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管理云端算法，对云端算力的新增，包含“算力设备信息、网络信息”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列表展示已接入的云端算力</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云端算力资源查看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查看算法的“cpu使用率、内存信息、磁盘使用率、iops”</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算力详情查看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查看算力的详细信息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对已新增未部署的算法进行部署关联</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对算力的“查询搜索、批量导出、删除、编辑”</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算法仓库</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对平台算法的新增接入，编辑包含算法的”基本信息：算法名称、算法厂家、算法版本、算法值”等信息，接口地址配置</w:t>
            </w:r>
            <w:r>
              <w:rPr>
                <w:rFonts w:hint="eastAsia" w:ascii="宋体" w:hAnsi="宋体" w:eastAsia="宋体" w:cs="宋体"/>
                <w:i w:val="0"/>
                <w:iCs w:val="0"/>
                <w:color w:val="000000"/>
                <w:sz w:val="21"/>
                <w:szCs w:val="21"/>
                <w:highlight w:val="none"/>
                <w:u w:val="none"/>
              </w:rPr>
            </w:r>
            <w:r/>
          </w:p>
        </w:tc>
      </w:tr>
      <w:tr>
        <w:trPr>
          <w:trHeight w:val="903"/>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提供面部识别、越界周界识别、人员持刀检测、打架斗殴检测、人员聚集检测基础算法，同时提供人员倒地检测、无人值守告警、吸烟检测、烟火检测、车牌识别等其他定制算法(具体根据教体局需求定制开发)</w:t>
            </w:r>
            <w:r>
              <w:rPr>
                <w:rFonts w:hint="eastAsia" w:ascii="宋体" w:hAnsi="宋体" w:eastAsia="宋体" w:cs="宋体"/>
                <w:i w:val="0"/>
                <w:iCs w:val="0"/>
                <w:color w:val="000000"/>
                <w:sz w:val="21"/>
                <w:szCs w:val="21"/>
                <w:highlight w:val="none"/>
                <w:u w:val="none"/>
                <w:lang w:val="en-US"/>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关联算力</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将算法关联算力</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对算法列表的“算法多条件搜索查询、批量导出、算法详情查看，编辑、删除”等操作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列表展示平台所有用户创建的云端任务</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对任务的“查询搜索、查看、批量导出、删除、编辑”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对已配置的任务进行2次编辑和任务状态设置“启用/关停”</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告警查询</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列表展示平台告警信息，对告警信息的“搜索、查看、批量导出”等功能，AI告警数据通过时间、算法类型、摄像头等条件筛选查询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告警详情</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AI告警图片，告警详情展示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告警信息对接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对接摄像头侧、不同平台产生的告警数据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告警信息联动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平台分析的告警可以和喇叭等扩音设备联动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面部视图告警</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查看设备抓拍的面部视图信息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推送告警信息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对告警信息的推送策略配置</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列表展示平台告警推送策略，对列表的“查看、编辑、删除”，对提送策略的状态“启用/停用”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api接口推送告警信息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新增接口推送策略，含“定时推送、实时推送”</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列表展示平台已配置的API接口推送任务，对列表的“查看、编辑、删除”，对提送策略的状态“启用/停用”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配置中心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AI告警规则</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设置系统级AI告警规则，发送范围和发送时间</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资源告警规则</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设置服务器等资源异常情况下告警规则</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算法厂商管理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创建、编辑、删除、查看算法厂商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创建、编辑、删除、查看算法，算法需要关联算法厂商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系统管理</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账密登录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输入账号、密码登录平台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密码修改</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登录后可以修改密码</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设置标准行政区划目录并在平台中应用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区划信息操作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编辑和删除区划信息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超级管理员自定义配置平台组织架构、修改、删除</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组织架构编辑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平台管理员对本级组织架构做编辑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关联账号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将用户管理中的账号与组织进行关联</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移动账号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将组织下的账号移动到其它组织下</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用户管理</w:t>
            </w: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列表展示当前账号下管理的用户信息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关键字搜索查询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操作编辑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用户账号信息进行编辑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密码修改</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修改账号密码</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以卡片形式展示当前系统平台已配置的角色</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编辑角色相关信息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权限管理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对角色的系统功能菜单权限和数据权限自定义配置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菜单管理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菜单设置管理</w:t>
            </w:r>
            <w:r>
              <w:rPr>
                <w:rFonts w:hint="eastAsia" w:ascii="宋体" w:hAnsi="宋体" w:eastAsia="宋体" w:cs="宋体"/>
                <w:i w:val="0"/>
                <w:iCs w:val="0"/>
                <w:color w:val="000000"/>
                <w:sz w:val="21"/>
                <w:szCs w:val="21"/>
                <w:highlight w:val="none"/>
                <w:u w:val="none"/>
                <w:lang w:val="en-US"/>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安全配置</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密码配置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密码配置、密码强弱配置、脱敏配置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登录页配置</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项目名、验证码、同端互斥</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岗位管理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新增岗位</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新增平台用户岗位信息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岗位列表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列表展示岗位信息，对列表岗位信息的“查看、编辑、删除、查询”等操作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日志管理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用户登录日志</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展示平台用户登录日志，并可以导出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712"/>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管理员操作日志</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展示管理员操作日志，并可以导出</w:t>
            </w:r>
            <w:r>
              <w:rPr>
                <w:rFonts w:hint="eastAsia" w:ascii="宋体" w:hAnsi="宋体" w:eastAsia="宋体" w:cs="宋体"/>
                <w:i w:val="0"/>
                <w:iCs w:val="0"/>
                <w:color w:val="000000"/>
                <w:sz w:val="21"/>
                <w:szCs w:val="21"/>
                <w:highlight w:val="none"/>
                <w:u w:val="none"/>
              </w:rPr>
            </w:r>
            <w:r/>
          </w:p>
        </w:tc>
      </w:tr>
      <w:tr>
        <w:trPr>
          <w:trHeight w:val="446"/>
        </w:trPr>
        <w:tc>
          <w:tcPr>
            <w:tcW w:w="567" w:type="dxa"/>
            <w:vAlign w:val="center"/>
            <w:textDirection w:val="lrTb"/>
            <w:noWrap w:val="false"/>
          </w:tcPr>
          <w:p>
            <w:pPr>
              <w:pStyle w:val="71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lang w:val="en-US" w:eastAsia="zh-CN" w:bidi="ar-SA"/>
              </w:rPr>
            </w:r>
            <w:r/>
          </w:p>
        </w:tc>
        <w:tc>
          <w:tcPr>
            <w:gridSpan w:val="3"/>
            <w:tcW w:w="3311" w:type="dxa"/>
            <w:vAlign w:val="center"/>
            <w:textDirection w:val="lrTb"/>
            <w:noWrap w:val="false"/>
          </w:tcPr>
          <w:p>
            <w:pPr>
              <w:pStyle w:val="712"/>
              <w:jc w:val="left"/>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网络安全等级保护测评服务</w:t>
            </w:r>
            <w:r>
              <w:rPr>
                <w:rFonts w:hint="eastAsia" w:ascii="宋体" w:hAnsi="宋体" w:eastAsia="宋体" w:cs="宋体"/>
                <w:i w:val="0"/>
                <w:iCs w:val="0"/>
                <w:color w:val="000000"/>
                <w:sz w:val="21"/>
                <w:szCs w:val="21"/>
                <w:highlight w:val="none"/>
                <w:u w:val="none"/>
                <w:lang w:val="en-US" w:eastAsia="zh-CN" w:bidi="ar"/>
              </w:rPr>
            </w:r>
            <w:r/>
          </w:p>
        </w:tc>
        <w:tc>
          <w:tcPr>
            <w:tcW w:w="4839" w:type="dxa"/>
            <w:vAlign w:val="center"/>
            <w:textDirection w:val="lrTb"/>
            <w:noWrap w:val="false"/>
          </w:tcPr>
          <w:p>
            <w:pPr>
              <w:pStyle w:val="712"/>
              <w:jc w:val="both"/>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3年网络安全等级保护测评服务并提供测评报告</w:t>
            </w:r>
            <w:r>
              <w:rPr>
                <w:rFonts w:hint="eastAsia" w:ascii="宋体" w:hAnsi="宋体" w:eastAsia="宋体" w:cs="宋体"/>
                <w:i w:val="0"/>
                <w:iCs w:val="0"/>
                <w:color w:val="000000"/>
                <w:sz w:val="21"/>
                <w:szCs w:val="21"/>
                <w:highlight w:val="none"/>
                <w:u w:val="none"/>
                <w:lang w:val="en-US" w:eastAsia="zh-CN" w:bidi="ar"/>
              </w:rPr>
            </w:r>
            <w:r/>
          </w:p>
        </w:tc>
      </w:tr>
    </w:tbl>
    <w:p>
      <w:pPr>
        <w:pStyle w:val="712"/>
        <w:ind w:firstLine="482"/>
        <w:keepLines w:val="0"/>
        <w:keepNext w:val="0"/>
        <w:pageBreakBefore w:val="0"/>
        <w:spacing w:line="440" w:lineRule="exact"/>
        <w:widowControl w:val="off"/>
        <w:rPr>
          <w:rFonts w:ascii="仿宋" w:hAnsi="仿宋" w:eastAsia="仿宋" w:cs="仿宋"/>
          <w:b/>
          <w:bCs w:val="0"/>
          <w:color w:val="000000"/>
          <w:sz w:val="24"/>
          <w:szCs w:val="24"/>
          <w:highlight w:val="none"/>
          <w:lang w:val="en-US" w:eastAsia="zh-CN"/>
        </w:rPr>
      </w:pPr>
      <w:r>
        <w:rPr>
          <w:rFonts w:ascii="仿宋" w:hAnsi="仿宋" w:eastAsia="仿宋" w:cs="仿宋"/>
          <w:b/>
          <w:bCs w:val="0"/>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4"/>
          <w:szCs w:val="24"/>
        </w:rPr>
      </w:r>
      <w:r/>
    </w:p>
    <w:p>
      <w:pPr>
        <w:pStyle w:val="712"/>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其内容包含但不限于以下内容：</w:t>
      </w:r>
      <w:r>
        <w:rPr>
          <w:rFonts w:hint="eastAsia" w:ascii="宋体" w:hAnsi="宋体" w:eastAsia="宋体" w:cs="宋体"/>
          <w:color w:val="000000"/>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采购标的需实现的功能或者目标，以及为落实政府采购政策需满足的要求</w:t>
      </w:r>
      <w:r>
        <w:rPr>
          <w:rFonts w:hint="eastAsia" w:ascii="宋体" w:hAnsi="宋体" w:eastAsia="宋体" w:cs="宋体"/>
          <w:b/>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海安市“智慧安防校园”建设项目，包含但不限于监控和安防管理平台系统的供货、运输、安装、调试、验收、技术培训、成品保护、售后服务、质保、维护保养，保证所有设备正常运行等。</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采购标的需执行的国家相关标准、行业标准、地方标准或者其他标准、规范</w:t>
      </w:r>
      <w:r>
        <w:rPr>
          <w:rFonts w:hint="eastAsia" w:ascii="宋体" w:hAnsi="宋体" w:eastAsia="宋体" w:cs="宋体"/>
          <w:b/>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参考国家标准、通委政法【2020】85 号关于印发《南通市新建小区及其他新建建筑工程技防建设项目审核验收工作的实施意见》的通知、通委政法【2020】83号关于加强南通市中小学幼儿园智慧安防建设的实施意见、行业标准，随着标准的修订，根据修订后的最新标准作为依据。除上述规范标准以外，还须遵循国家、行业及地方现行的相关规范和标准要求。</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采购标的需满足的质量、安全、技术规格、物理特性等要求</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响应文件中的佐证材料、文件作为评审重要依据，采购人非常重视产品的技术、性能指标，评标结束后采购人对成交供应商响应文件的资料、产品等进行核实。签订合同后提供供应商对各类摄像机、交换机、服务器、室内小间距全彩LED的技术参数响应表，加盖原厂商公章的原件。资料提供不全或所提供的材料不符合要求的应重新提供，否则追究违约责任，采购人可上报财政部门，对拟成交人进行处罚，拟成交人承担一切后果与责任。</w:t>
      </w:r>
      <w:r>
        <w:rPr>
          <w:rFonts w:hint="eastAsia" w:ascii="宋体" w:hAnsi="宋体" w:eastAsia="宋体" w:cs="宋体"/>
          <w:sz w:val="24"/>
          <w:szCs w:val="24"/>
          <w:highlight w:val="none"/>
          <w:lang w:val="en-US" w:eastAsia="zh-CN"/>
        </w:rPr>
      </w:r>
      <w:r/>
    </w:p>
    <w:p>
      <w:pPr>
        <w:pStyle w:val="712"/>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2.响应供应商可对现场进行勘察，响应供应商在充分理解采购文件和现场勘察的基础上，编制本项目响应文件。</w:t>
      </w:r>
      <w:r>
        <w:rPr>
          <w:rFonts w:hint="eastAsia" w:ascii="宋体" w:hAnsi="宋体" w:eastAsia="宋体" w:cs="宋体"/>
          <w:color w:val="000000"/>
          <w:sz w:val="24"/>
          <w:szCs w:val="24"/>
          <w:highlight w:val="none"/>
          <w:lang w:val="en-US" w:eastAsia="zh-CN"/>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所有硬件设备保修信息均为本项目用户单位，必须从原厂公布的服务电话得到查询验证，否则采购人有权要求退货，并追究违约责任。</w:t>
      </w:r>
      <w:r>
        <w:rPr>
          <w:rFonts w:hint="eastAsia" w:ascii="宋体" w:hAnsi="宋体" w:eastAsia="宋体" w:cs="宋体"/>
          <w:sz w:val="24"/>
          <w:szCs w:val="24"/>
          <w:highlight w:val="none"/>
          <w:lang w:val="en-US" w:eastAsia="zh-CN"/>
        </w:rPr>
      </w:r>
      <w:r/>
    </w:p>
    <w:p>
      <w:pPr>
        <w:pStyle w:val="712"/>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供应商须根据建设方案和采购要求精心组织实施，明确项目进度计划、工程质量控制、产品进场报验和安全保障措施，在保证质量的前提下按时完成项目建设。</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供应商须做好各阶段实施资料的纪录、整理和保存，主材料、材料品牌进场使用须得到采购单位的认可，验收合格后方可进场实施。</w:t>
      </w:r>
      <w:r>
        <w:rPr>
          <w:rFonts w:hint="eastAsia" w:ascii="宋体" w:hAnsi="宋体" w:eastAsia="宋体" w:cs="宋体"/>
          <w:color w:val="000000"/>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供应商须主动与</w:t>
      </w:r>
      <w:r>
        <w:rPr>
          <w:rFonts w:hint="eastAsia" w:ascii="宋体" w:hAnsi="宋体" w:eastAsia="宋体" w:cs="宋体"/>
          <w:sz w:val="24"/>
          <w:szCs w:val="24"/>
          <w:highlight w:val="none"/>
          <w:lang w:val="en-US" w:eastAsia="zh-CN"/>
        </w:rPr>
        <w:t xml:space="preserve">采购单位及学校等方面进行沟通、协调及配合，保证项目实施顺畅进行。</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采购标的的数量、采购项目交付或者实施的时间和地点</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数量：与货物清单数量一致</w:t>
      </w:r>
      <w:r>
        <w:rPr>
          <w:rFonts w:hint="eastAsia" w:ascii="宋体" w:hAnsi="宋体" w:eastAsia="宋体" w:cs="宋体"/>
          <w:sz w:val="24"/>
          <w:szCs w:val="24"/>
          <w:highlight w:val="none"/>
          <w:lang w:val="en-US" w:eastAsia="zh-CN"/>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地点：采购人指定地点</w:t>
      </w:r>
      <w:r>
        <w:rPr>
          <w:rFonts w:hint="eastAsia" w:ascii="宋体" w:hAnsi="宋体" w:eastAsia="宋体" w:cs="宋体"/>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项目交付：合同签订</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sz w:val="24"/>
          <w:szCs w:val="24"/>
          <w:highlight w:val="none"/>
          <w:lang w:val="en-US" w:eastAsia="zh-CN"/>
        </w:rPr>
        <w:t xml:space="preserve">天内完成项目实施，包括硬件采购和安装、各应用模块开发和部署、软硬件集成调试等；3年维保服务。</w:t>
      </w:r>
      <w:r>
        <w:rPr>
          <w:rFonts w:hint="eastAsia" w:ascii="宋体" w:hAnsi="宋体" w:eastAsia="宋体" w:cs="宋体"/>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采购标的需满足的服务标准、期限、效率等要求 </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质保期限：本次采购的货物提供3年质保，自项目整体验收合格次日起计算。中标供应商签订合同后货物进场报验时提供产品合格证、检测报告，并提供货物的原厂3年质保承诺函。</w:t>
      </w:r>
      <w:r>
        <w:rPr>
          <w:rFonts w:hint="eastAsia" w:ascii="宋体" w:hAnsi="宋体" w:eastAsia="宋体" w:cs="宋体"/>
          <w:sz w:val="24"/>
          <w:szCs w:val="24"/>
          <w:highlight w:val="none"/>
          <w:lang w:val="en-US" w:eastAsia="zh-CN"/>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限：本项目包含3年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中标供应商承担。</w:t>
      </w:r>
      <w:r>
        <w:rPr>
          <w:rFonts w:hint="eastAsia" w:ascii="宋体" w:hAnsi="宋体" w:eastAsia="宋体" w:cs="宋体"/>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服务期内，中标供应商须保障智慧安防云管理平台及安防指挥中心有效运行，平台所收编的所有视频点位每天在线率达96%以上。在线率不满足要求的，中标供应商须及时排查原因，在规定时间内修复到位。如因本次建设项目之外设备问题，由中标供应商协商所在学校技术人员及时处理，确保系统运行正常。</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采购标的的验收标准</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须保证项目中所使用的材料、提供的设备为优质产品并完全符合国家质量、消防、环保、安全检验标准。验收时采用的检验方法将按照制造厂商生产的产品验收标准和中华人民共和国有关标准以及招标文件规定的技术要求进行验收，必要时邀请相关的专业人员或机构参与验收。因产品质量问题发生争议时，采购人请有权部门鉴定。若所供货物经产品质量检测机构检测认定质量不合格，造成的损失和后果由中标供应商负全责。</w:t>
      </w:r>
      <w:r>
        <w:rPr>
          <w:rFonts w:hint="eastAsia" w:ascii="宋体" w:hAnsi="宋体" w:eastAsia="宋体" w:cs="宋体"/>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项目竣工验收前，</w:t>
      </w:r>
      <w:r>
        <w:rPr>
          <w:rFonts w:hint="eastAsia" w:ascii="宋体" w:hAnsi="宋体" w:eastAsia="宋体" w:cs="宋体"/>
          <w:sz w:val="24"/>
          <w:szCs w:val="24"/>
          <w:highlight w:val="none"/>
          <w:lang w:val="en-US" w:eastAsia="zh-CN"/>
        </w:rPr>
        <w:t xml:space="preserve">中标供应商</w:t>
      </w:r>
      <w:r>
        <w:rPr>
          <w:rFonts w:hint="eastAsia" w:ascii="宋体" w:hAnsi="宋体" w:eastAsia="宋体" w:cs="宋体"/>
          <w:color w:val="000000"/>
          <w:sz w:val="24"/>
          <w:szCs w:val="24"/>
          <w:highlight w:val="none"/>
          <w:lang w:val="en-US" w:eastAsia="zh-CN"/>
        </w:rPr>
        <w:t xml:space="preserve">必须做好竣工验收资料并按规范要求装订成册，一校一册，一校一式五份（包括竣工施工图、管网布线图、系统图、设备和材料清单、设施设备管理规程、所有设备使用操作说明等）。</w:t>
      </w:r>
      <w:r>
        <w:rPr>
          <w:rFonts w:hint="eastAsia" w:ascii="宋体" w:hAnsi="宋体" w:eastAsia="宋体" w:cs="宋体"/>
          <w:color w:val="000000"/>
          <w:sz w:val="24"/>
          <w:szCs w:val="24"/>
          <w:highlight w:val="none"/>
          <w:lang w:val="en-US" w:eastAsia="zh-CN"/>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采购标的的其他技术、服务等要求：</w:t>
      </w:r>
      <w:r>
        <w:rPr>
          <w:rFonts w:hint="eastAsia" w:ascii="宋体" w:hAnsi="宋体" w:eastAsia="宋体" w:cs="宋体"/>
          <w:b/>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7.1有关说明：</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(1)主要技术标准</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中标供应商投标设备的设计、制造、安装、验收应符合下列标准和规范：我国和国际上的相关标准和规范及本招标文件要求。</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没有国家标准的按行业标准执行，没有行业标准的产品，中标供应商应提供相关制造商标准。</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报价包括本次采购范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中标供应商漏报或不报，采购人将视为该漏报或不报部分的费用已包括在已报的分项报价中而不予支付。</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在安装、调试、验收过程中，如发现有漏项、缺件，中标供应商应无条件、无偿补齐，所发生的一切费用，视为已包含在中标供应商报价之中，且并不因此而影响交付采购人使用的时间。</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（3）设备安装调试期间各类安全保障工作由中标供应商自行负责。</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（4）本项目所有材料、品牌需得到采购人认可并经验收合格后，方可进场安装。</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）本项目为交钥匙工程，项目清单中的相关材料及辅材系采购方初步估算，中标供应商需自行认真踏勘现场，了解本项目的具体情况，</w:t>
      </w:r>
      <w:r>
        <w:rPr>
          <w:rFonts w:hint="eastAsia" w:ascii="宋体" w:hAnsi="宋体" w:eastAsia="宋体" w:cs="宋体"/>
          <w:sz w:val="24"/>
          <w:szCs w:val="24"/>
          <w:lang w:val="en-US" w:eastAsia="zh-CN"/>
        </w:rPr>
        <w:t xml:space="preserve">进行二次深化设计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项目施工时可能存在因设计方案与现场有矛盾之处、功能达标升级、设计图中应考虑未考虑的内容等，以上情况造成的费用</w:t>
      </w:r>
      <w:r>
        <w:rPr>
          <w:rFonts w:hint="eastAsia" w:ascii="宋体" w:hAnsi="宋体" w:eastAsia="宋体" w:cs="宋体"/>
          <w:sz w:val="24"/>
          <w:szCs w:val="24"/>
          <w:lang w:val="en-US" w:eastAsia="zh-CN"/>
        </w:rPr>
        <w:t xml:space="preserve">增加</w:t>
      </w:r>
      <w:r>
        <w:rPr>
          <w:rFonts w:hint="eastAsia" w:ascii="宋体" w:hAnsi="宋体" w:eastAsia="宋体" w:cs="宋体"/>
          <w:sz w:val="24"/>
          <w:szCs w:val="24"/>
        </w:rPr>
        <w:t xml:space="preserve">由中标供应商综合考虑在报价中，</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不再另行支付任何费用。</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7.2系统培训</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（1）除清单中所列各项系统专业培训外，中标供应商须提供对所有本项目系统硬件产品、应用软件、系统集成等在内的全部培训工作，提供不低于二次专职教师操作培训。</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（2）培训方式为现场培训或集中培训，现场培训指在设备的安装调试、故障处理过程中，对采购单位技术人员进行实际的操作和故障处理培训。</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（3）培训内容包括正常使用和一般故障排除，培训的内容，必须提供完整的培训资料、培训计划等文档。</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包装要求： </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 40%；</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.2快递包装环保要求：</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（11）快递应使用电子面单；</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（13）快递包装产品质量和封装方式应符合相关国家或行业标准技术指标要求。</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绿色数据中心</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绿色低碳管理目标和服务要求：在物业、合同能源管理等服务类采购项目需求中，要强化绿色低碳管理目标和服务要求，促进绿色产品和服务推广应用。</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非单一产品采购项目，采购标的中的核心产品：</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双目结构化摄像机、智能网络红外枪机、拥挤防范摄像机、边缘计算主机、超融合服务器、GPU服务器。</w:t>
      </w:r>
      <w:r>
        <w:rPr>
          <w:rFonts w:hint="eastAsia" w:ascii="宋体" w:hAnsi="宋体" w:eastAsia="宋体" w:cs="宋体"/>
          <w:sz w:val="24"/>
          <w:szCs w:val="24"/>
          <w:lang w:val="en-US" w:eastAsia="zh-CN" w:bidi="ar-SA"/>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本项目的主要标的：</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双目结构化摄像机、智能网络红外枪机、拥挤防范摄像机、边缘计算主机、超融合服务器、GPU服务器。</w:t>
      </w:r>
      <w:r>
        <w:rPr>
          <w:rFonts w:hint="eastAsia" w:ascii="宋体" w:hAnsi="宋体" w:eastAsia="宋体" w:cs="宋体"/>
          <w:sz w:val="24"/>
          <w:szCs w:val="24"/>
          <w:lang w:val="en-US" w:eastAsia="zh-CN" w:bidi="ar-SA"/>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lang w:eastAsia="zh-CN"/>
        </w:rPr>
        <w:t xml:space="preserve">）</w:t>
      </w:r>
      <w:r>
        <w:rPr>
          <w:rFonts w:hint="eastAsia" w:ascii="宋体" w:hAnsi="宋体" w:eastAsia="宋体" w:cs="宋体"/>
          <w:b/>
          <w:sz w:val="24"/>
          <w:szCs w:val="24"/>
          <w:u w:val="none"/>
        </w:rPr>
        <w:t xml:space="preserve">采购需求中必须满足的实质性要求</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highlight w:val="none"/>
          <w:lang w:val="en-US" w:eastAsia="zh-CN"/>
        </w:rPr>
        <w:t xml:space="preserve">项目清单中所有的软件提供正版质保期内免费升级服务。</w:t>
      </w:r>
      <w:r>
        <w:rPr>
          <w:rFonts w:hint="eastAsia" w:ascii="宋体" w:hAnsi="宋体" w:eastAsia="宋体" w:cs="宋体"/>
          <w:sz w:val="24"/>
          <w:szCs w:val="24"/>
          <w:highlight w:val="none"/>
          <w:lang w:val="en-US" w:eastAsia="zh-CN"/>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★提供承诺函，承诺将学校“雪亮工程”监控及“雪亮工程”后学校建设的视频监控（含正在建设的实验中学监控，具体根据教体局要求）收编接入新智慧安防平台并展示。（格式自拟）</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712"/>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本项目采用分期支付方式，分3年支付：签订合同30日内，预付合同价的30%；第二年支付合同金额的30％；第三年采购人支付剩余的合同金额。款项由采购单位按相关财务支付规定办理支付手续。</w:t>
      </w:r>
      <w:r>
        <w:rPr>
          <w:rFonts w:hint="eastAsia" w:ascii="宋体" w:hAnsi="宋体" w:eastAsia="宋体" w:cs="宋体"/>
          <w:sz w:val="24"/>
          <w:szCs w:val="24"/>
          <w:lang w:val="en-US" w:eastAsia="zh-CN" w:bidi="ar-SA"/>
        </w:rPr>
      </w:r>
      <w:r/>
    </w:p>
    <w:p>
      <w:pPr>
        <w:pStyle w:val="712"/>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履约保证金</w:t>
      </w:r>
      <w:r>
        <w:rPr>
          <w:rFonts w:hint="eastAsia" w:ascii="宋体" w:hAnsi="宋体" w:eastAsia="宋体" w:cs="宋体"/>
          <w:b/>
          <w:sz w:val="24"/>
          <w:szCs w:val="24"/>
        </w:rPr>
      </w:r>
      <w:r/>
    </w:p>
    <w:p>
      <w:pPr>
        <w:pStyle w:val="712"/>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11.1本项目免收履约保证金。</w:t>
      </w:r>
      <w:r>
        <w:rPr>
          <w:rFonts w:hint="eastAsia" w:ascii="宋体" w:hAnsi="宋体" w:eastAsia="宋体" w:cs="宋体"/>
          <w:sz w:val="24"/>
          <w:szCs w:val="24"/>
        </w:rPr>
      </w:r>
      <w:r/>
    </w:p>
    <w:p>
      <w:pPr>
        <w:pStyle w:val="712"/>
        <w:ind w:firstLine="482"/>
        <w:keepLines w:val="0"/>
        <w:keepNext w:val="0"/>
        <w:pageBreakBefore w:val="0"/>
        <w:spacing w:line="520" w:lineRule="exact"/>
        <w:widowControl w:val="off"/>
        <w:rPr>
          <w:rFonts w:hint="eastAsia" w:ascii="宋体" w:hAnsi="宋体" w:eastAsia="宋体" w:cs="宋体"/>
          <w:b/>
          <w:color w:val="000000"/>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合同条款（详见附件）</w:t>
      </w:r>
      <w:r>
        <w:rPr>
          <w:rFonts w:hint="eastAsia" w:ascii="宋体" w:hAnsi="宋体" w:eastAsia="宋体" w:cs="宋体"/>
          <w:b/>
          <w:color w:val="000000"/>
          <w:sz w:val="24"/>
          <w:szCs w:val="24"/>
        </w:rPr>
      </w:r>
      <w:r/>
    </w:p>
    <w:p>
      <w:pPr>
        <w:pStyle w:val="712"/>
        <w:spacing w:line="560" w:lineRule="exact"/>
        <w:rPr>
          <w:rFonts w:hint="eastAsia"/>
        </w:rPr>
      </w:pPr>
      <w:r/>
      <w:bookmarkStart w:id="179" w:name="_Toc120614281"/>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spacing w:line="560" w:lineRule="exact"/>
        <w:rPr>
          <w:rFonts w:hint="eastAsia"/>
        </w:rPr>
      </w:pPr>
      <w:r>
        <w:rPr>
          <w:rFonts w:hint="eastAsia"/>
        </w:rPr>
      </w:r>
      <w:r/>
    </w:p>
    <w:p>
      <w:pPr>
        <w:pStyle w:val="712"/>
        <w:jc w:val="center"/>
        <w:spacing w:line="560" w:lineRule="exact"/>
        <w:rPr>
          <w:rFonts w:hint="eastAsia" w:ascii="Times New Roman" w:hAnsi="Times New Roman"/>
          <w:color w:val="000000"/>
          <w:szCs w:val="21"/>
        </w:rPr>
      </w:pPr>
      <w:r>
        <w:rPr>
          <w:rFonts w:hint="eastAsia" w:ascii="黑体" w:hAnsi="Times New Roman" w:eastAsia="黑体"/>
          <w:bCs/>
          <w:color w:val="000000"/>
          <w:sz w:val="44"/>
          <w:szCs w:val="28"/>
        </w:rPr>
        <w:t xml:space="preserve">第四章  </w:t>
      </w:r>
      <w:r>
        <w:rPr>
          <w:rFonts w:hint="eastAsia" w:ascii="黑体" w:hAnsi="Times New Roman" w:eastAsia="黑体"/>
          <w:b/>
          <w:bCs/>
          <w:color w:val="000000"/>
          <w:sz w:val="44"/>
          <w:szCs w:val="28"/>
        </w:rPr>
        <w:t xml:space="preserve">评标方法与评标标准</w:t>
      </w:r>
      <w:r>
        <w:rPr>
          <w:rFonts w:hint="eastAsia" w:ascii="Times New Roman" w:hAnsi="Times New Roman"/>
          <w:color w:val="000000"/>
          <w:szCs w:val="21"/>
        </w:rPr>
      </w:r>
      <w:r/>
    </w:p>
    <w:p>
      <w:pPr>
        <w:pStyle w:val="712"/>
        <w:ind w:firstLine="480"/>
        <w:jc w:val="left"/>
        <w:keepLines w:val="0"/>
        <w:keepNext w:val="0"/>
        <w:pageBreakBefore w:val="0"/>
        <w:spacing w:line="520" w:lineRule="exact"/>
        <w:widowControl w:val="off"/>
        <w:rPr>
          <w:rFonts w:hint="eastAsia" w:ascii="Arial" w:hAnsi="Arial" w:cs="Arial"/>
          <w:color w:val="000000"/>
          <w:sz w:val="24"/>
          <w:szCs w:val="24"/>
        </w:rPr>
      </w:pPr>
      <w:r>
        <w:rPr>
          <w:rFonts w:ascii="Arial" w:hAnsi="Arial" w:cs="Arial"/>
          <w:color w:val="000000"/>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sz w:val="24"/>
          <w:szCs w:val="24"/>
        </w:rPr>
        <w:t xml:space="preserve">排名第一的中标候选人。</w:t>
      </w:r>
      <w:r>
        <w:rPr>
          <w:rFonts w:hint="eastAsia" w:ascii="Arial" w:hAnsi="Arial" w:cs="Arial"/>
          <w:color w:val="000000"/>
          <w:sz w:val="24"/>
          <w:szCs w:val="24"/>
        </w:rPr>
      </w:r>
      <w:r/>
    </w:p>
    <w:p>
      <w:pPr>
        <w:pStyle w:val="712"/>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评委在认真审阅投标文件的基础上，根据各投标文件的响应程度独立评判，不得统一打分。</w:t>
      </w:r>
      <w:r>
        <w:rPr>
          <w:rFonts w:hint="eastAsia" w:ascii="Arial" w:hAnsi="Arial" w:cs="Arial"/>
          <w:sz w:val="24"/>
          <w:szCs w:val="24"/>
        </w:rPr>
      </w:r>
      <w:r/>
    </w:p>
    <w:p>
      <w:pPr>
        <w:pStyle w:val="712"/>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（一）采购人（代表）对投标人资格进行审查。</w:t>
      </w:r>
      <w:r>
        <w:rPr>
          <w:rFonts w:hint="eastAsia" w:ascii="Arial" w:hAnsi="Arial" w:cs="Arial"/>
          <w:b/>
          <w:sz w:val="24"/>
          <w:szCs w:val="24"/>
        </w:rPr>
      </w:r>
      <w:r/>
    </w:p>
    <w:p>
      <w:pPr>
        <w:pStyle w:val="712"/>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投标人资格不合格的，其投标文件判定为无效投标文件。</w:t>
      </w:r>
      <w:r>
        <w:rPr>
          <w:rFonts w:hint="eastAsia" w:ascii="Arial" w:hAnsi="Arial" w:cs="Arial"/>
          <w:sz w:val="24"/>
          <w:szCs w:val="24"/>
        </w:rPr>
      </w:r>
      <w:r/>
    </w:p>
    <w:p>
      <w:pPr>
        <w:pStyle w:val="712"/>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（二）评标委员会对符合资格投标人的投标文件进行符合性审查。</w:t>
      </w:r>
      <w:r>
        <w:rPr>
          <w:rFonts w:hint="eastAsia" w:ascii="Arial" w:hAnsi="Arial" w:cs="Arial"/>
          <w:b/>
          <w:sz w:val="24"/>
          <w:szCs w:val="24"/>
        </w:rPr>
      </w:r>
      <w:r/>
    </w:p>
    <w:p>
      <w:pPr>
        <w:pStyle w:val="712"/>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未通过符合性审查的投标文件，将被判为不满足招标文件实质性要求。 </w:t>
      </w:r>
      <w:r>
        <w:rPr>
          <w:rFonts w:hint="eastAsia" w:ascii="Arial" w:hAnsi="Arial" w:cs="Arial"/>
          <w:sz w:val="24"/>
          <w:szCs w:val="24"/>
        </w:rPr>
      </w:r>
      <w:r/>
    </w:p>
    <w:p>
      <w:pPr>
        <w:pStyle w:val="712"/>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（三）商务技术分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70</w:t>
      </w:r>
      <w:r>
        <w:rPr>
          <w:rFonts w:hint="eastAsia" w:ascii="Arial" w:hAnsi="Arial" w:cs="Arial"/>
          <w:b/>
          <w:sz w:val="24"/>
          <w:szCs w:val="24"/>
        </w:rPr>
        <w:t xml:space="preserve">分</w:t>
      </w:r>
      <w:r>
        <w:rPr>
          <w:rFonts w:hint="eastAsia" w:ascii="Arial" w:hAnsi="Arial" w:cs="Arial"/>
          <w:b/>
          <w:sz w:val="24"/>
          <w:szCs w:val="24"/>
        </w:rPr>
      </w:r>
      <w:r/>
    </w:p>
    <w:p>
      <w:pPr>
        <w:pStyle w:val="712"/>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各投标人得分为评委会成员评分的算术平均分，分值保留小数点后两位。</w:t>
      </w:r>
      <w:r>
        <w:rPr>
          <w:rFonts w:hint="eastAsia" w:ascii="Arial" w:hAnsi="Arial" w:cs="Arial"/>
          <w:sz w:val="24"/>
          <w:szCs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402"/>
        <w:gridCol w:w="821"/>
        <w:gridCol w:w="6041"/>
      </w:tblGrid>
      <w:tr>
        <w:trPr>
          <w:trHeight w:val="530"/>
        </w:trPr>
        <w:tc>
          <w:tcPr>
            <w:tcW w:w="898" w:type="dxa"/>
            <w:vAlign w:val="center"/>
            <w:textDirection w:val="lrTb"/>
            <w:noWrap w:val="false"/>
          </w:tcPr>
          <w:p>
            <w:pPr>
              <w:pStyle w:val="712"/>
              <w:jc w:val="center"/>
              <w:keepLines w:val="0"/>
              <w:keepNext w:val="0"/>
              <w:pageBreakBefore w:val="0"/>
              <w:spacing w:line="440" w:lineRule="exact"/>
              <w:widowControl w:val="off"/>
              <w:rPr>
                <w:rFonts w:ascii="Arial" w:hAnsi="Arial" w:eastAsia="宋体" w:cs="Arial"/>
                <w:sz w:val="21"/>
                <w:szCs w:val="21"/>
                <w:lang w:val="en-US" w:eastAsia="zh-CN"/>
              </w:rPr>
            </w:pPr>
            <w:r>
              <w:rPr>
                <w:rFonts w:hint="eastAsia" w:ascii="Arial" w:hAnsi="Arial" w:eastAsia="宋体" w:cs="Arial"/>
                <w:sz w:val="21"/>
                <w:szCs w:val="21"/>
                <w:lang w:val="en-US" w:eastAsia="zh-CN"/>
              </w:rPr>
              <w:t xml:space="preserve">序号</w:t>
            </w:r>
            <w:r>
              <w:rPr>
                <w:rFonts w:ascii="Arial" w:hAnsi="Arial" w:eastAsia="宋体" w:cs="Arial"/>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评分点名称</w:t>
            </w:r>
            <w:r>
              <w:rPr>
                <w:rFonts w:hint="eastAsia" w:ascii="Arial" w:hAnsi="Arial" w:eastAsia="宋体" w:cs="Arial"/>
                <w:sz w:val="21"/>
                <w:szCs w:val="21"/>
              </w:rPr>
            </w:r>
            <w:r/>
          </w:p>
        </w:tc>
        <w:tc>
          <w:tcPr>
            <w:tcW w:w="821" w:type="dxa"/>
            <w:vAlign w:val="center"/>
            <w:textDirection w:val="lrTb"/>
            <w:noWrap w:val="false"/>
          </w:tcPr>
          <w:p>
            <w:pPr>
              <w:pStyle w:val="712"/>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分值</w:t>
            </w:r>
            <w:r>
              <w:rPr>
                <w:rFonts w:hint="eastAsia" w:ascii="Arial" w:hAnsi="Arial" w:eastAsia="宋体" w:cs="Arial"/>
                <w:sz w:val="21"/>
                <w:szCs w:val="21"/>
              </w:rPr>
            </w:r>
            <w:r/>
          </w:p>
        </w:tc>
        <w:tc>
          <w:tcPr>
            <w:tcW w:w="6041" w:type="dxa"/>
            <w:vAlign w:val="center"/>
            <w:textDirection w:val="lrTb"/>
            <w:noWrap w:val="false"/>
          </w:tcPr>
          <w:p>
            <w:pPr>
              <w:pStyle w:val="712"/>
              <w:ind w:firstLine="1638"/>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评审标准</w:t>
            </w:r>
            <w:r>
              <w:rPr>
                <w:rFonts w:hint="eastAsia" w:ascii="Arial" w:hAnsi="Arial" w:eastAsia="宋体" w:cs="Arial"/>
                <w:sz w:val="21"/>
                <w:szCs w:val="21"/>
              </w:rPr>
            </w:r>
            <w:r/>
          </w:p>
        </w:tc>
      </w:tr>
      <w:tr>
        <w:trPr>
          <w:trHeight w:val="150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技术响应</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由评委根据技术参数响应及偏离表的应答情况进行评分，全部满足技术指标</w:t>
            </w:r>
            <w:r>
              <w:rPr>
                <w:rFonts w:hint="eastAsia" w:ascii="宋体" w:hAnsi="宋体" w:eastAsia="宋体" w:cs="宋体"/>
                <w:sz w:val="21"/>
                <w:szCs w:val="21"/>
                <w:highlight w:val="none"/>
                <w:lang w:val="en-US" w:eastAsia="zh-CN"/>
              </w:rPr>
              <w:t xml:space="preserve">要求的得29分；加▲为重要指标，出现负偏离每项扣0.5分，其他设备或技术指标项出现负偏离，每项扣0.1分；响应供应商需按要求提供相关证明材料或截图等佐证材料，证</w:t>
            </w:r>
            <w:r>
              <w:rPr>
                <w:rFonts w:hint="eastAsia" w:ascii="宋体" w:hAnsi="宋体" w:eastAsia="宋体" w:cs="宋体"/>
                <w:sz w:val="21"/>
                <w:szCs w:val="21"/>
                <w:lang w:val="en-US" w:eastAsia="zh-CN"/>
              </w:rPr>
              <w:t xml:space="preserve">明材料或功能截图需要与招标文件描述的功能吻合，未能提供相关证明材料或功能截图不符合要求的，视为负偏离。</w:t>
            </w:r>
            <w:r>
              <w:rPr>
                <w:rFonts w:hint="eastAsia" w:ascii="宋体" w:hAnsi="宋体" w:eastAsia="宋体" w:cs="宋体"/>
                <w:sz w:val="21"/>
                <w:szCs w:val="21"/>
              </w:rPr>
            </w:r>
            <w:r/>
          </w:p>
        </w:tc>
      </w:tr>
      <w:tr>
        <w:trPr>
          <w:trHeight w:val="90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综合实力</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响应供应商具有国家认证认可监督管理委员会认可的ISO27001信息安全管理体系认证证书、ISO22301业务连续性管理体系认证证书、ISO27701隐私信息管理体系认证证书，每提供一个证书得1分，最高3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2.响应供应商提供安防工程企业设计施工维护能力证书得2分，不提供不得分；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3.响应供应商提供软件服务商交付能力证书得2分，不提供不得分；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4.响应供应商提供售后服务完善度认证证书得2分，不提供不得分；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以上内容均需提供证明材料复印件（加盖响应供应商公章）。关键内容缺少、不清晰或伪造不得分。</w:t>
            </w:r>
            <w:r>
              <w:rPr>
                <w:rFonts w:hint="eastAsia" w:ascii="宋体" w:hAnsi="宋体" w:eastAsia="宋体" w:cs="宋体"/>
                <w:sz w:val="21"/>
                <w:szCs w:val="21"/>
              </w:rPr>
            </w:r>
            <w:r/>
          </w:p>
        </w:tc>
      </w:tr>
      <w:tr>
        <w:trPr>
          <w:trHeight w:val="297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人员配备</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响应供应商针对本项目拟派的项目负责人（一名）具备项目负责人具有信息系统项目管理师、系统规划与管理师、CISAW信息安全保证人员（应急服务）、通信工程师（终端与业务）、信息系统业务安全服务工程师，每具有一项得1分，最高得5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2.响应供应商拟投入本项目的技术负责人（一名）具备高级信创规划管理师、信息系统项目管理师、高级程序员、高级电子信息工程师证书、高级售后服务管理师，每有一项得1分，最高5分；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3.响应供应商拟投入本项目的施工负责人（一名）具备高级IT运维工程师、高级安防系统工程师证书、高级音响师的，每具有一项得1分，最高得3分；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4.响应供应商拟投入本项目的安全负责人（一名）具备信息安全工程师、注册信息安全工程师CISP、高级安防系统集成项目经理，每具有一项得1分，最高得3分；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须提供上述人员在响应供应商公司注册所在地社保部门出具的社保缴纳证明并加盖供应商单位公章扫描件，以上人员证书不重复得分。</w:t>
            </w:r>
            <w:r>
              <w:rPr>
                <w:rFonts w:hint="eastAsia" w:ascii="宋体" w:hAnsi="宋体" w:eastAsia="宋体" w:cs="宋体"/>
                <w:sz w:val="21"/>
                <w:szCs w:val="21"/>
              </w:rPr>
            </w:r>
            <w:r/>
          </w:p>
        </w:tc>
      </w:tr>
      <w:tr>
        <w:trPr>
          <w:trHeight w:val="270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技术能力</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1.所投的视频监控类平台，响应供应商须具备通过CNAS认证的检验检测报告（1分）（提供测评报告，并加盖响应供应商公章）；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2.所投的视频监控类平台，响应供应商所投视频监控类平台具备信息系统安全三级等级保护证书（1分）（提供证明及测评报告，并加盖响应供应商公章）；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3.所提供的视频监控类平台，响应供应商须具备信创适配能力且通过信创适配认证（1分）（提供信创适配认证，并加盖响应供应商公章）；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4.响应供应商具备视频监控类平台国家软著认证证明得1分（提供软件著作权证书复印件，并加盖响应供应商公章）；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5.响应供应商具备视频运维类平台国家软著认证证明的得1分（提供软件著作权证书复印件，并加盖响应供应商公章）。</w:t>
            </w:r>
            <w:r>
              <w:rPr>
                <w:rFonts w:hint="eastAsia" w:ascii="宋体" w:hAnsi="宋体" w:eastAsia="宋体" w:cs="宋体"/>
                <w:sz w:val="21"/>
                <w:szCs w:val="21"/>
              </w:rPr>
            </w:r>
            <w:r/>
          </w:p>
        </w:tc>
      </w:tr>
      <w:tr>
        <w:trPr>
          <w:trHeight w:val="192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实施方案</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响应供应商可自行踏勘现场，在充分理解本次项目的建设内容要求的情况下，编写详细、深化的实施方案。方案包含不限于：（1）总体部</w:t>
            </w:r>
            <w:r>
              <w:rPr>
                <w:rFonts w:hint="eastAsia" w:ascii="宋体" w:hAnsi="宋体" w:eastAsia="宋体" w:cs="宋体"/>
                <w:sz w:val="21"/>
                <w:szCs w:val="21"/>
                <w:highlight w:val="none"/>
                <w:lang w:val="en-US" w:eastAsia="zh-CN"/>
              </w:rPr>
              <w:t xml:space="preserve">署、（2）管理平台建设、（3）安防指挥中心建设、（4）施工进度计划、（5）质量控制措施、（6）网络安全措施、（7）项目实施保障、（8）培训服务，每项0.5分，共计4分。每缺少一项扣0.5分，每有一项内容不完整或有缺陷的扣0.3分。</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注：内容不完整或有缺陷，指存在以下任意一种情况：未聚焦</w:t>
            </w:r>
            <w:r>
              <w:rPr>
                <w:rFonts w:hint="eastAsia" w:ascii="宋体" w:hAnsi="宋体" w:eastAsia="宋体" w:cs="宋体"/>
                <w:b/>
                <w:bCs/>
                <w:sz w:val="21"/>
                <w:szCs w:val="21"/>
                <w:lang w:val="en-US" w:eastAsia="zh-CN"/>
              </w:rPr>
              <w:t xml:space="preserve">本项目采购需求、包含大量与本项目无关的冗余内容、明显抄袭网络公开资料，未做原创适配、存在明显常识性和技术错误等。</w:t>
            </w:r>
            <w:r>
              <w:rPr>
                <w:rFonts w:hint="eastAsia" w:ascii="宋体" w:hAnsi="宋体" w:eastAsia="宋体" w:cs="宋体"/>
                <w:sz w:val="21"/>
                <w:szCs w:val="21"/>
              </w:rPr>
            </w:r>
            <w:r/>
          </w:p>
        </w:tc>
      </w:tr>
      <w:tr>
        <w:trPr>
          <w:trHeight w:val="90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售后服务</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响应供应商具备高效及时的响应服务能力，提供详细的售后技术支撑人员姓名、联系方式，同时承诺一般故障90分钟内到现场解决，重大故障2小时内解决。提供承诺函和证明材料得2分，不提供不得分。</w:t>
            </w:r>
            <w:r>
              <w:rPr>
                <w:rFonts w:hint="eastAsia" w:ascii="宋体" w:hAnsi="宋体" w:eastAsia="宋体" w:cs="宋体"/>
                <w:sz w:val="21"/>
                <w:szCs w:val="21"/>
              </w:rPr>
            </w:r>
            <w:r/>
          </w:p>
        </w:tc>
      </w:tr>
      <w:tr>
        <w:trPr>
          <w:trHeight w:val="54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业绩证明</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响应供应商提供类似项目建设案例的有一个得1分，最多得2分。（提供合同复印件）</w:t>
            </w:r>
            <w:r>
              <w:rPr>
                <w:rFonts w:hint="eastAsia" w:ascii="宋体" w:hAnsi="宋体" w:eastAsia="宋体" w:cs="宋体"/>
                <w:sz w:val="21"/>
                <w:szCs w:val="21"/>
              </w:rPr>
            </w:r>
            <w:r/>
          </w:p>
        </w:tc>
      </w:tr>
      <w:tr>
        <w:trPr>
          <w:trHeight w:val="3340"/>
        </w:trPr>
        <w:tc>
          <w:tcPr>
            <w:tcW w:w="898" w:type="dxa"/>
            <w:vAlign w:val="center"/>
            <w:textDirection w:val="lrTb"/>
            <w:noWrap w:val="false"/>
          </w:tcPr>
          <w:p>
            <w:pPr>
              <w:pStyle w:val="712"/>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402"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节能环保</w:t>
            </w:r>
            <w:r>
              <w:rPr>
                <w:rFonts w:hint="eastAsia" w:ascii="宋体" w:hAnsi="宋体" w:eastAsia="宋体" w:cs="宋体"/>
                <w:sz w:val="21"/>
                <w:szCs w:val="21"/>
              </w:rPr>
            </w:r>
            <w:r/>
          </w:p>
        </w:tc>
        <w:tc>
          <w:tcPr>
            <w:tcW w:w="821" w:type="dxa"/>
            <w:vAlign w:val="center"/>
            <w:textDirection w:val="lrTb"/>
            <w:noWrap w:val="false"/>
          </w:tcPr>
          <w:p>
            <w:pPr>
              <w:pStyle w:val="712"/>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r>
            <w:r/>
          </w:p>
        </w:tc>
        <w:tc>
          <w:tcPr>
            <w:tcW w:w="6041" w:type="dxa"/>
            <w:vAlign w:val="center"/>
            <w:textDirection w:val="lrTb"/>
            <w:noWrap w:val="false"/>
          </w:tcPr>
          <w:p>
            <w:pPr>
              <w:pStyle w:val="712"/>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eastAsia="宋体" w:cs="宋体"/>
                <w:sz w:val="21"/>
                <w:szCs w:val="21"/>
              </w:rPr>
            </w:r>
            <w:r/>
          </w:p>
        </w:tc>
      </w:tr>
    </w:tbl>
    <w:p>
      <w:pPr>
        <w:pStyle w:val="712"/>
        <w:ind w:firstLine="439"/>
        <w:jc w:val="left"/>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（四）价格分：</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val="en-US" w:eastAsia="zh-CN"/>
        </w:rPr>
        <w:t xml:space="preserve">0</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出现下列情形之一的，评标委员会应当启动异常低价投标审查程序：</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1．投标报价低于采购项目预算50%的，即投标（响应）报价&lt;采购项目预算×50%；</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2．投标报价低于采购项目最高限价45%的，即投标（响应）报价&lt;采购项目最高限价×45%；</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3．评标委员会认定的供应商报价过低、有可能影响产品质量或者不能诚信履约的其他情形。</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rPr>
          <w:rFonts w:hint="eastAsia" w:ascii="宋体" w:hAnsi="宋体" w:eastAsia="宋体" w:cs="宋体"/>
          <w:sz w:val="24"/>
          <w:szCs w:val="24"/>
        </w:rPr>
      </w:r>
      <w:r/>
    </w:p>
    <w:p>
      <w:pPr>
        <w:pStyle w:val="712"/>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sz w:val="24"/>
          <w:szCs w:val="24"/>
        </w:rPr>
      </w:r>
      <w:r/>
    </w:p>
    <w:p>
      <w:pPr>
        <w:pStyle w:val="712"/>
        <w:ind w:firstLine="441"/>
        <w:jc w:val="left"/>
        <w:keepLines w:val="0"/>
        <w:keepNext w:val="0"/>
        <w:pageBreakBefore w:val="0"/>
        <w:spacing w:line="520" w:lineRule="exact"/>
        <w:widowControl w:val="off"/>
        <w:rPr>
          <w:rFonts w:hint="eastAsia" w:ascii="宋体" w:hAnsi="宋体" w:eastAsia="宋体" w:cs="宋体"/>
          <w:b/>
          <w:color w:val="000000"/>
          <w:sz w:val="24"/>
          <w:szCs w:val="24"/>
        </w:rPr>
      </w:pPr>
      <w:r>
        <w:rPr>
          <w:rFonts w:hint="eastAsia" w:ascii="宋体" w:hAnsi="宋体" w:eastAsia="宋体" w:cs="宋体"/>
          <w:b/>
          <w:sz w:val="24"/>
          <w:szCs w:val="24"/>
        </w:rPr>
        <w:t xml:space="preserve">（五）</w:t>
      </w:r>
      <w:r>
        <w:rPr>
          <w:rFonts w:hint="eastAsia" w:ascii="宋体" w:hAnsi="宋体" w:eastAsia="宋体" w:cs="宋体"/>
          <w:b/>
          <w:color w:val="000000"/>
          <w:sz w:val="24"/>
          <w:szCs w:val="24"/>
        </w:rPr>
        <w:t xml:space="preserve">政府采购政策功能落实</w:t>
      </w:r>
      <w:r>
        <w:rPr>
          <w:rFonts w:hint="eastAsia" w:ascii="宋体" w:hAnsi="宋体" w:eastAsia="宋体" w:cs="宋体"/>
          <w:b/>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小微型企业价格扣除</w:t>
      </w:r>
      <w:r>
        <w:rPr>
          <w:rFonts w:hint="eastAsia" w:ascii="宋体" w:hAnsi="宋体" w:eastAsia="宋体" w:cs="宋体"/>
          <w:color w:val="000000"/>
          <w:sz w:val="24"/>
          <w:szCs w:val="24"/>
        </w:rPr>
      </w:r>
      <w:r/>
    </w:p>
    <w:p>
      <w:pPr>
        <w:pStyle w:val="712"/>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的扣除价格，用扣除后的价格参与评审。</w:t>
      </w:r>
      <w:r>
        <w:rPr>
          <w:rFonts w:hint="eastAsia" w:ascii="宋体" w:hAnsi="宋体" w:eastAsia="宋体" w:cs="宋体"/>
          <w:color w:val="000000"/>
          <w:sz w:val="24"/>
          <w:szCs w:val="24"/>
        </w:rPr>
      </w:r>
      <w:r/>
    </w:p>
    <w:p>
      <w:pPr>
        <w:pStyle w:val="712"/>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（2）供应商需按照采购文件的要求提供相应的《中小企业声明函》。</w:t>
      </w:r>
      <w:r>
        <w:rPr>
          <w:rFonts w:hint="eastAsia" w:ascii="宋体" w:hAnsi="宋体" w:eastAsia="宋体" w:cs="宋体"/>
          <w:color w:val="000000"/>
          <w:sz w:val="24"/>
          <w:szCs w:val="24"/>
        </w:rPr>
      </w:r>
      <w:r/>
    </w:p>
    <w:p>
      <w:pPr>
        <w:pStyle w:val="712"/>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残疾人福利单位价格扣除</w:t>
      </w:r>
      <w:r>
        <w:rPr>
          <w:rFonts w:hint="eastAsia" w:ascii="宋体" w:hAnsi="宋体" w:eastAsia="宋体" w:cs="宋体"/>
          <w:color w:val="000000"/>
          <w:sz w:val="24"/>
          <w:szCs w:val="24"/>
        </w:rPr>
      </w:r>
      <w:r/>
    </w:p>
    <w:p>
      <w:pPr>
        <w:pStyle w:val="712"/>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12"/>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712"/>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监狱和戒毒企业价格扣除</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残疾人福利单位、监狱企业属于小型、微型企业的，不重复享受政策。</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36"/>
          <w:szCs w:val="36"/>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36"/>
          <w:szCs w:val="36"/>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联合体各方均为小型、微型企业（残疾人福利单位、监狱企业）的，联合体享受</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价格扣除，用扣除后的价格参与评审。</w:t>
      </w:r>
      <w:r>
        <w:rPr>
          <w:rFonts w:hint="eastAsia" w:ascii="宋体" w:hAnsi="宋体" w:eastAsia="宋体" w:cs="宋体"/>
          <w:color w:val="000000"/>
          <w:sz w:val="24"/>
          <w:szCs w:val="24"/>
        </w:rPr>
      </w:r>
      <w:r/>
    </w:p>
    <w:p>
      <w:pPr>
        <w:pStyle w:val="712"/>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专门面向中小企业采购的项目或者采购包，不再执行价格评审优惠的扶持政策。</w:t>
      </w:r>
      <w:r>
        <w:rPr>
          <w:rFonts w:hint="eastAsia" w:ascii="宋体" w:hAnsi="宋体" w:eastAsia="宋体" w:cs="宋体"/>
          <w:color w:val="000000"/>
          <w:sz w:val="24"/>
          <w:szCs w:val="24"/>
        </w:rPr>
      </w:r>
      <w:r/>
    </w:p>
    <w:p>
      <w:pPr>
        <w:pStyle w:val="712"/>
        <w:ind w:firstLine="472"/>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根据《江苏省政府采购信用管理暂行办法》的规定，供应商信用评价结果为三星的扣2分，评价结果为二星的扣3分，评价结果为一星的扣4分。</w:t>
      </w:r>
      <w:r>
        <w:rPr>
          <w:rFonts w:hint="eastAsia" w:ascii="宋体" w:hAnsi="宋体" w:eastAsia="宋体" w:cs="宋体"/>
          <w:color w:val="000000"/>
          <w:sz w:val="24"/>
          <w:szCs w:val="24"/>
        </w:rPr>
      </w:r>
      <w:r/>
    </w:p>
    <w:p>
      <w:pPr>
        <w:pStyle w:val="712"/>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投标</w:t>
      </w:r>
      <w:bookmarkEnd w:id="177"/>
      <w:r/>
      <w:bookmarkEnd w:id="178"/>
      <w:r/>
      <w:bookmarkEnd w:id="179"/>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12"/>
        <w:jc w:val="center"/>
        <w:rPr>
          <w:rFonts w:hint="eastAsia" w:ascii="宋体" w:hAnsi="宋体"/>
          <w:b/>
          <w:color w:val="000000"/>
          <w:sz w:val="72"/>
          <w:szCs w:val="21"/>
        </w:rPr>
      </w:pPr>
      <w:r/>
      <w:bookmarkStart w:id="180" w:name="_Hlt26671244"/>
      <w:r/>
      <w:bookmarkEnd w:id="180"/>
      <w:r/>
      <w:bookmarkStart w:id="181" w:name="_Hlt26955039"/>
      <w:r/>
      <w:bookmarkEnd w:id="181"/>
      <w:r/>
      <w:bookmarkStart w:id="182" w:name="_Toc26554094"/>
      <w:r/>
      <w:bookmarkStart w:id="183" w:name="_Toc120614282"/>
      <w:r/>
      <w:bookmarkStart w:id="184" w:name="_Toc49090576"/>
      <w:r>
        <w:rPr>
          <w:rFonts w:hint="eastAsia" w:ascii="宋体" w:hAnsi="宋体"/>
          <w:b/>
          <w:color w:val="000000"/>
          <w:sz w:val="72"/>
          <w:szCs w:val="21"/>
        </w:rPr>
      </w:r>
      <w:r/>
    </w:p>
    <w:p>
      <w:pPr>
        <w:pStyle w:val="712"/>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12"/>
        <w:jc w:val="center"/>
        <w:rPr>
          <w:rFonts w:hint="eastAsia" w:ascii="宋体" w:hAnsi="宋体"/>
          <w:b/>
          <w:color w:val="000000"/>
          <w:sz w:val="72"/>
          <w:szCs w:val="21"/>
        </w:rPr>
      </w:pPr>
      <w:r>
        <w:rPr>
          <w:rFonts w:hint="eastAsia" w:ascii="宋体" w:hAnsi="宋体"/>
          <w:b/>
          <w:color w:val="000000"/>
          <w:sz w:val="72"/>
          <w:szCs w:val="21"/>
        </w:rPr>
      </w:r>
      <w:r/>
    </w:p>
    <w:p>
      <w:pPr>
        <w:pStyle w:val="712"/>
        <w:jc w:val="center"/>
        <w:rPr>
          <w:rFonts w:hint="eastAsia" w:ascii="宋体" w:hAnsi="宋体"/>
          <w:b/>
          <w:color w:val="000000"/>
          <w:sz w:val="72"/>
          <w:szCs w:val="21"/>
        </w:rPr>
      </w:pPr>
      <w:r>
        <w:rPr>
          <w:rFonts w:hint="eastAsia" w:ascii="宋体" w:hAnsi="宋体"/>
          <w:b/>
          <w:color w:val="000000"/>
          <w:sz w:val="72"/>
          <w:szCs w:val="21"/>
        </w:rPr>
      </w:r>
      <w:r/>
    </w:p>
    <w:p>
      <w:pPr>
        <w:pStyle w:val="712"/>
        <w:jc w:val="center"/>
        <w:rPr>
          <w:rFonts w:hint="eastAsia" w:ascii="宋体" w:hAnsi="宋体"/>
          <w:b/>
          <w:color w:val="000000"/>
          <w:sz w:val="36"/>
          <w:szCs w:val="21"/>
        </w:rPr>
      </w:pPr>
      <w:r>
        <w:rPr>
          <w:rFonts w:hint="eastAsia" w:ascii="宋体" w:hAnsi="宋体"/>
          <w:b/>
          <w:color w:val="000000"/>
          <w:sz w:val="36"/>
          <w:szCs w:val="21"/>
        </w:rPr>
      </w:r>
      <w:r/>
    </w:p>
    <w:p>
      <w:pPr>
        <w:pStyle w:val="712"/>
        <w:jc w:val="center"/>
        <w:rPr>
          <w:rFonts w:hint="eastAsia" w:ascii="宋体" w:hAnsi="宋体"/>
          <w:b/>
          <w:color w:val="000000"/>
          <w:sz w:val="36"/>
          <w:szCs w:val="21"/>
        </w:rPr>
      </w:pPr>
      <w:r>
        <w:rPr>
          <w:rFonts w:hint="eastAsia" w:ascii="宋体" w:hAnsi="宋体"/>
          <w:b/>
          <w:color w:val="000000"/>
          <w:sz w:val="36"/>
          <w:szCs w:val="21"/>
        </w:rPr>
      </w:r>
      <w:r/>
    </w:p>
    <w:p>
      <w:pPr>
        <w:pStyle w:val="712"/>
        <w:jc w:val="center"/>
        <w:rPr>
          <w:rFonts w:hint="eastAsia" w:ascii="宋体" w:hAnsi="宋体"/>
          <w:b/>
          <w:color w:val="000000"/>
          <w:sz w:val="36"/>
          <w:szCs w:val="21"/>
        </w:rPr>
      </w:pPr>
      <w:r>
        <w:rPr>
          <w:rFonts w:hint="eastAsia" w:ascii="宋体" w:hAnsi="宋体"/>
          <w:b/>
          <w:color w:val="000000"/>
          <w:sz w:val="36"/>
          <w:szCs w:val="21"/>
        </w:rPr>
      </w:r>
      <w:r/>
    </w:p>
    <w:p>
      <w:pPr>
        <w:pStyle w:val="712"/>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12"/>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12"/>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12"/>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12"/>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12"/>
        <w:spacing w:line="440" w:lineRule="exact"/>
        <w:rPr>
          <w:rFonts w:ascii="宋体" w:hAnsi="宋体"/>
          <w:color w:val="000000"/>
          <w:szCs w:val="21"/>
        </w:rPr>
      </w:pPr>
      <w:r>
        <w:rPr>
          <w:rFonts w:ascii="宋体" w:hAnsi="宋体"/>
          <w:color w:val="000000"/>
          <w:szCs w:val="21"/>
        </w:rPr>
      </w:r>
      <w:r/>
    </w:p>
    <w:p>
      <w:pPr>
        <w:pStyle w:val="712"/>
        <w:ind w:firstLine="1084"/>
        <w:spacing w:line="560" w:lineRule="exact"/>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12"/>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投标文件目录</w:t>
      </w:r>
      <w:r>
        <w:rPr>
          <w:rFonts w:hint="eastAsia" w:ascii="宋体" w:hAnsi="宋体"/>
          <w:b/>
          <w:bCs/>
          <w:color w:val="000000"/>
          <w:sz w:val="44"/>
          <w:szCs w:val="44"/>
        </w:rPr>
      </w:r>
      <w:r/>
    </w:p>
    <w:p>
      <w:pPr>
        <w:pStyle w:val="712"/>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71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71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71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712"/>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712"/>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71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4.投标函（格式见附件4）</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71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rPr>
          <w:rFonts w:hint="eastAsia" w:ascii="宋体" w:hAnsi="宋体"/>
          <w:color w:val="000000"/>
          <w:sz w:val="24"/>
          <w:szCs w:val="24"/>
        </w:rPr>
      </w:r>
      <w:r/>
    </w:p>
    <w:p>
      <w:pPr>
        <w:pStyle w:val="712"/>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712"/>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712"/>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712"/>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712"/>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712"/>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712"/>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none"/>
        </w:rPr>
        <w:t xml:space="preserve">________________</w:t>
      </w:r>
      <w:r>
        <w:rPr>
          <w:rFonts w:hint="eastAsia" w:ascii="宋体" w:hAnsi="宋体"/>
          <w:bCs/>
          <w:color w:val="000000"/>
          <w:sz w:val="24"/>
          <w:szCs w:val="21"/>
        </w:rPr>
        <w:t xml:space="preserve">（项目名称），</w:t>
      </w:r>
      <w:r>
        <w:rPr>
          <w:rFonts w:hint="eastAsia" w:ascii="宋体" w:hAnsi="宋体"/>
          <w:bCs/>
          <w:color w:val="000000"/>
          <w:sz w:val="24"/>
          <w:szCs w:val="21"/>
          <w:u w:val="none"/>
        </w:rPr>
        <w:t xml:space="preserve">_________________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712"/>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712"/>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712"/>
        <w:spacing w:line="500" w:lineRule="exact"/>
        <w:rPr>
          <w:rFonts w:hint="eastAsia" w:ascii="宋体" w:hAnsi="宋体"/>
          <w:color w:val="000000"/>
          <w:sz w:val="24"/>
          <w:szCs w:val="24"/>
        </w:rPr>
      </w:pPr>
      <w:r>
        <w:rPr>
          <w:rFonts w:hint="eastAsia" w:ascii="宋体" w:hAnsi="宋体"/>
          <w:color w:val="000000"/>
          <w:sz w:val="24"/>
          <w:szCs w:val="24"/>
        </w:rPr>
      </w:r>
      <w:r/>
    </w:p>
    <w:p>
      <w:pPr>
        <w:pStyle w:val="71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1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12"/>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712"/>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712"/>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712"/>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712"/>
        <w:rPr>
          <w:szCs w:val="21"/>
        </w:rPr>
      </w:pPr>
      <w:r>
        <w:rPr>
          <w:szCs w:val="21"/>
        </w:rPr>
      </w:r>
      <w:r/>
    </w:p>
    <w:p>
      <w:pPr>
        <w:pStyle w:val="712"/>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712"/>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712"/>
        <w:spacing w:line="480" w:lineRule="exact"/>
        <w:rPr>
          <w:rFonts w:ascii="宋体" w:hAnsi="宋体"/>
          <w:sz w:val="24"/>
          <w:szCs w:val="24"/>
        </w:rPr>
      </w:pPr>
      <w:r>
        <w:rPr>
          <w:rFonts w:ascii="宋体" w:hAnsi="宋体"/>
          <w:sz w:val="24"/>
          <w:szCs w:val="24"/>
        </w:rPr>
      </w:r>
      <w:r/>
    </w:p>
    <w:p>
      <w:pPr>
        <w:pStyle w:val="712"/>
        <w:ind w:firstLine="480"/>
        <w:spacing w:line="48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rPr>
        <w:t xml:space="preserve">先生/女士：</w:t>
      </w:r>
      <w:r>
        <w:rPr>
          <w:rFonts w:ascii="宋体" w:hAnsi="宋体"/>
          <w:sz w:val="24"/>
          <w:szCs w:val="24"/>
        </w:rPr>
        <w:t xml:space="preserve"> </w:t>
      </w:r>
      <w:r>
        <w:rPr>
          <w:rFonts w:hint="eastAsia" w:ascii="宋体" w:hAnsi="宋体"/>
          <w:sz w:val="24"/>
          <w:szCs w:val="24"/>
        </w:rPr>
        <w:t xml:space="preserve">现任我单位</w:t>
      </w:r>
      <w:r>
        <w:rPr>
          <w:rFonts w:ascii="宋体" w:hAnsi="宋体"/>
          <w:sz w:val="24"/>
          <w:szCs w:val="24"/>
          <w:u w:val="single"/>
        </w:rPr>
        <w:t xml:space="preserve">        </w:t>
      </w:r>
      <w:r>
        <w:rPr>
          <w:rFonts w:hint="eastAsia" w:ascii="宋体" w:hAnsi="宋体"/>
          <w:sz w:val="24"/>
          <w:szCs w:val="24"/>
        </w:rPr>
        <w:t xml:space="preserve">职务，为法定代表人，特此证明。</w:t>
      </w:r>
      <w:r>
        <w:rPr>
          <w:rFonts w:ascii="宋体" w:hAnsi="宋体"/>
          <w:sz w:val="24"/>
          <w:szCs w:val="24"/>
        </w:rPr>
      </w:r>
      <w:r/>
    </w:p>
    <w:p>
      <w:pPr>
        <w:pStyle w:val="712"/>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u w:val="single"/>
        </w:rPr>
        <w:t xml:space="preserve">                                               </w:t>
      </w:r>
      <w:r>
        <w:rPr>
          <w:rFonts w:ascii="宋体" w:hAnsi="宋体"/>
          <w:sz w:val="24"/>
          <w:szCs w:val="24"/>
          <w:u w:val="single"/>
        </w:rPr>
      </w:r>
      <w:r/>
    </w:p>
    <w:p>
      <w:pPr>
        <w:pStyle w:val="712"/>
        <w:ind w:firstLine="480"/>
        <w:spacing w:line="480" w:lineRule="exact"/>
        <w:rPr>
          <w:rFonts w:ascii="宋体" w:hAnsi="宋体"/>
          <w:sz w:val="24"/>
          <w:szCs w:val="24"/>
        </w:rPr>
      </w:pPr>
      <w:r>
        <w:rPr>
          <w:rFonts w:ascii="宋体" w:hAnsi="宋体"/>
          <w:sz w:val="24"/>
          <w:szCs w:val="24"/>
        </w:rPr>
      </w:r>
      <w:r/>
    </w:p>
    <w:p>
      <w:pPr>
        <w:pStyle w:val="712"/>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712"/>
        <w:ind w:firstLine="480"/>
        <w:spacing w:line="480" w:lineRule="exact"/>
        <w:rPr>
          <w:rFonts w:ascii="Times New Roman" w:hAnsi="Times New Roman" w:eastAsia="仿宋_GB2312"/>
          <w:sz w:val="24"/>
          <w:szCs w:val="24"/>
        </w:rPr>
      </w:pPr>
      <w:r>
        <w:rPr>
          <w:rFonts w:ascii="Times New Roman" w:hAnsi="Times New Roman" w:eastAsia="仿宋_GB2312"/>
          <w:sz w:val="24"/>
          <w:szCs w:val="24"/>
        </w:rPr>
      </w:r>
      <w:r/>
    </w:p>
    <w:p>
      <w:pPr>
        <w:pStyle w:val="712"/>
        <w:rPr>
          <w:rFonts w:ascii="Times New Roman" w:hAnsi="Times New Roman"/>
          <w:szCs w:val="24"/>
        </w:rPr>
      </w:pPr>
      <w:r>
        <w:rPr>
          <w:rFonts w:hint="eastAsia" w:ascii="Times New Roman" w:hAnsi="Times New Roman"/>
          <w:szCs w:val="24"/>
        </w:rPr>
        <w:t xml:space="preserve">     </w:t>
      </w:r>
      <w:r>
        <w:rPr>
          <w:rFonts w:ascii="Times New Roman" w:hAnsi="Times New Roman"/>
          <w:szCs w:val="24"/>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12"/>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712"/>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71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1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1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12"/>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12"/>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12"/>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12"/>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12"/>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12"/>
        <w:rPr>
          <w:rFonts w:hint="eastAsia" w:ascii="Times New Roman" w:hAnsi="Times New Roman"/>
          <w:color w:val="000000"/>
          <w:szCs w:val="21"/>
        </w:rPr>
      </w:pPr>
      <w:r>
        <w:rPr>
          <w:rFonts w:hint="eastAsia" w:ascii="Times New Roman" w:hAnsi="Times New Roman"/>
          <w:color w:val="000000"/>
          <w:szCs w:val="21"/>
        </w:rPr>
      </w:r>
      <w:r/>
    </w:p>
    <w:p>
      <w:pPr>
        <w:pStyle w:val="71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712"/>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712"/>
        <w:jc w:val="left"/>
        <w:spacing w:line="440" w:lineRule="exact"/>
        <w:rPr>
          <w:rFonts w:ascii="宋体" w:hAnsi="宋体"/>
          <w:color w:val="000000"/>
          <w:sz w:val="24"/>
          <w:szCs w:val="21"/>
        </w:rPr>
      </w:pPr>
      <w:r>
        <w:rPr>
          <w:rFonts w:hint="eastAsia" w:ascii="宋体" w:hAnsi="宋体"/>
          <w:color w:val="000000"/>
          <w:sz w:val="24"/>
          <w:szCs w:val="21"/>
        </w:rPr>
        <w:t xml:space="preserve">致：海安市公共资源交易中心</w:t>
      </w:r>
      <w:r>
        <w:rPr>
          <w:rFonts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12"/>
        <w:ind w:firstLine="480"/>
        <w:jc w:val="left"/>
        <w:spacing w:line="44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12"/>
        <w:ind w:left="425"/>
        <w:jc w:val="left"/>
        <w:spacing w:line="44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12"/>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712"/>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投标供应商全称(盖公章)：</w:t>
      </w:r>
      <w:r>
        <w:rPr>
          <w:rFonts w:hint="eastAsia" w:ascii="宋体" w:hAnsi="宋体"/>
          <w:color w:val="000000"/>
          <w:sz w:val="24"/>
          <w:szCs w:val="21"/>
        </w:rPr>
      </w:r>
      <w:r/>
    </w:p>
    <w:p>
      <w:pPr>
        <w:pStyle w:val="712"/>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712"/>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712"/>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712"/>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712"/>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712"/>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712"/>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W w:w="2591"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1427" w:type="dxa"/>
            <w:vAlign w:val="top"/>
            <w:textDirection w:val="lrTb"/>
            <w:noWrap w:val="false"/>
          </w:tcPr>
          <w:p>
            <w:pPr>
              <w:pStyle w:val="712"/>
              <w:jc w:val="center"/>
              <w:spacing w:line="340" w:lineRule="exact"/>
              <w:rPr>
                <w:rFonts w:ascii="宋体" w:hAnsi="宋体"/>
                <w:sz w:val="24"/>
                <w:szCs w:val="24"/>
              </w:rPr>
            </w:pPr>
            <w:r>
              <w:rPr>
                <w:rFonts w:ascii="宋体" w:hAnsi="宋体"/>
                <w:sz w:val="24"/>
                <w:szCs w:val="24"/>
              </w:rPr>
            </w:r>
            <w:r/>
          </w:p>
          <w:p>
            <w:pPr>
              <w:pStyle w:val="712"/>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bl>
    <w:p>
      <w:pPr>
        <w:pStyle w:val="712"/>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712"/>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rPr>
          <w:rFonts w:hint="eastAsia" w:ascii="宋体" w:hAnsi="宋体"/>
          <w:color w:val="000000"/>
          <w:sz w:val="24"/>
          <w:szCs w:val="24"/>
        </w:rPr>
      </w:r>
      <w:r/>
    </w:p>
    <w:p>
      <w:pPr>
        <w:pStyle w:val="712"/>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712"/>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712"/>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712"/>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712"/>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W w:w="2591"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1427" w:type="dxa"/>
            <w:vAlign w:val="top"/>
            <w:textDirection w:val="lrTb"/>
            <w:noWrap w:val="false"/>
          </w:tcPr>
          <w:p>
            <w:pPr>
              <w:pStyle w:val="712"/>
              <w:jc w:val="center"/>
              <w:spacing w:line="340" w:lineRule="exact"/>
              <w:rPr>
                <w:rFonts w:ascii="宋体" w:hAnsi="宋体"/>
                <w:sz w:val="24"/>
                <w:szCs w:val="24"/>
              </w:rPr>
            </w:pPr>
            <w:r>
              <w:rPr>
                <w:rFonts w:ascii="宋体" w:hAnsi="宋体"/>
                <w:sz w:val="24"/>
                <w:szCs w:val="24"/>
              </w:rPr>
            </w:r>
            <w:r/>
          </w:p>
          <w:p>
            <w:pPr>
              <w:pStyle w:val="712"/>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center"/>
            <w:textDirection w:val="lrTb"/>
            <w:noWrap w:val="false"/>
          </w:tcPr>
          <w:p>
            <w:pPr>
              <w:pStyle w:val="712"/>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712"/>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712"/>
              <w:jc w:val="center"/>
              <w:spacing w:line="340" w:lineRule="exact"/>
              <w:rPr>
                <w:rFonts w:ascii="Times New Roman" w:hAnsi="Times New Roman"/>
                <w:sz w:val="24"/>
                <w:szCs w:val="24"/>
              </w:rPr>
            </w:pPr>
            <w:r>
              <w:rPr>
                <w:rFonts w:ascii="Times New Roman" w:hAnsi="Times New Roman"/>
                <w:sz w:val="24"/>
                <w:szCs w:val="24"/>
              </w:rPr>
            </w:r>
            <w:r/>
          </w:p>
        </w:tc>
      </w:tr>
    </w:tbl>
    <w:p>
      <w:pPr>
        <w:pStyle w:val="712"/>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712"/>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rPr>
          <w:rFonts w:hint="eastAsia" w:ascii="宋体" w:hAnsi="宋体"/>
          <w:color w:val="000000"/>
          <w:sz w:val="24"/>
          <w:szCs w:val="24"/>
        </w:rPr>
      </w:r>
      <w:r/>
    </w:p>
    <w:p>
      <w:pPr>
        <w:pStyle w:val="712"/>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712"/>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712"/>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12"/>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712"/>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712"/>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pStyle w:val="712"/>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712"/>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712"/>
        <w:spacing w:line="560" w:lineRule="exact"/>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712"/>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712"/>
              <w:jc w:val="center"/>
              <w:spacing w:line="560" w:lineRule="exact"/>
              <w:rPr>
                <w:rFonts w:ascii="等线" w:hAnsi="等线" w:eastAsia="等线"/>
              </w:rPr>
            </w:pPr>
            <w:r>
              <w:rPr>
                <w:rFonts w:ascii="宋体" w:hAnsi="宋体" w:cs="宋体"/>
                <w:sz w:val="28"/>
                <w:szCs w:val="28"/>
              </w:rPr>
              <w:t xml:space="preserve">投标货物、服务名称</w:t>
            </w:r>
            <w:r>
              <w:rPr>
                <w:rFonts w:ascii="等线" w:hAnsi="等线" w:eastAsia="等线"/>
              </w:rPr>
            </w:r>
            <w:r/>
          </w:p>
        </w:tc>
        <w:tc>
          <w:tcPr>
            <w:tcW w:w="4607" w:type="dxa"/>
            <w:vAlign w:val="top"/>
            <w:textDirection w:val="lrTb"/>
            <w:noWrap w:val="false"/>
          </w:tcPr>
          <w:p>
            <w:pPr>
              <w:pStyle w:val="712"/>
              <w:jc w:val="center"/>
              <w:spacing w:line="560" w:lineRule="exact"/>
              <w:rPr>
                <w:rFonts w:ascii="等线" w:hAnsi="等线" w:eastAsia="等线"/>
              </w:rPr>
            </w:pPr>
            <w:r>
              <w:rPr>
                <w:rFonts w:ascii="宋体" w:hAnsi="宋体" w:cs="宋体"/>
                <w:sz w:val="28"/>
                <w:szCs w:val="28"/>
              </w:rPr>
              <w:t xml:space="preserve">投标总报价</w:t>
            </w:r>
            <w:r>
              <w:rPr>
                <w:rFonts w:ascii="等线" w:hAnsi="等线" w:eastAsia="等线"/>
              </w:rPr>
            </w:r>
            <w:r/>
          </w:p>
        </w:tc>
      </w:tr>
      <w:tr>
        <w:trPr>
          <w:trHeight w:val="1091"/>
        </w:trPr>
        <w:tc>
          <w:tcPr>
            <w:tcW w:w="4148" w:type="dxa"/>
            <w:vAlign w:val="top"/>
            <w:textDirection w:val="lrTb"/>
            <w:noWrap w:val="false"/>
          </w:tcPr>
          <w:p>
            <w:pPr>
              <w:pStyle w:val="712"/>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712"/>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712"/>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712"/>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712"/>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712"/>
              <w:spacing w:line="560" w:lineRule="exact"/>
              <w:rPr>
                <w:rFonts w:ascii="等线" w:hAnsi="等线" w:eastAsia="等线"/>
              </w:rPr>
            </w:pPr>
            <w:r>
              <w:rPr>
                <w:rFonts w:ascii="等线" w:hAnsi="等线" w:eastAsia="等线"/>
              </w:rPr>
            </w:r>
            <w:r/>
          </w:p>
        </w:tc>
      </w:tr>
    </w:tbl>
    <w:p>
      <w:pPr>
        <w:pStyle w:val="712"/>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712"/>
        <w:spacing w:line="560" w:lineRule="exact"/>
        <w:rPr>
          <w:rFonts w:ascii="宋体" w:hAnsi="宋体" w:cs="宋体"/>
          <w:sz w:val="28"/>
          <w:szCs w:val="28"/>
        </w:rPr>
      </w:pPr>
      <w:r>
        <w:rPr>
          <w:rFonts w:ascii="宋体" w:hAnsi="宋体" w:cs="宋体"/>
          <w:sz w:val="28"/>
          <w:szCs w:val="28"/>
        </w:rPr>
      </w:r>
      <w:r/>
    </w:p>
    <w:p>
      <w:pPr>
        <w:pStyle w:val="712"/>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712"/>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712"/>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712"/>
        <w:spacing w:line="520" w:lineRule="exact"/>
        <w:rPr>
          <w:rFonts w:hint="eastAsia" w:ascii="Times New Roman" w:hAnsi="Times New Roman" w:eastAsia="方正黑体_GBK"/>
          <w:sz w:val="32"/>
          <w:szCs w:val="32"/>
        </w:rPr>
      </w:pPr>
      <w:r>
        <w:rPr>
          <w:rFonts w:ascii="Times New Roman" w:hAnsi="Times New Roman" w:eastAsia="方正黑体_GBK"/>
          <w:sz w:val="32"/>
          <w:szCs w:val="32"/>
        </w:rPr>
        <w:t xml:space="preserve">附件8</w:t>
      </w:r>
      <w:r>
        <w:rPr>
          <w:rFonts w:hint="eastAsia" w:ascii="Times New Roman" w:hAnsi="Times New Roman" w:eastAsia="方正黑体_GBK"/>
          <w:sz w:val="32"/>
          <w:szCs w:val="32"/>
        </w:rPr>
      </w:r>
      <w:r/>
    </w:p>
    <w:p>
      <w:pPr>
        <w:pStyle w:val="712"/>
        <w:jc w:val="center"/>
        <w:spacing w:line="400" w:lineRule="exact"/>
        <w:rPr>
          <w:sz w:val="32"/>
          <w:szCs w:val="32"/>
        </w:rPr>
      </w:pPr>
      <w:r>
        <w:rPr>
          <w:rFonts w:hint="eastAsia"/>
          <w:b/>
          <w:bCs/>
          <w:sz w:val="32"/>
          <w:szCs w:val="32"/>
        </w:rPr>
        <w:t xml:space="preserve">分项报价明细表（货物类）</w:t>
      </w:r>
      <w:r>
        <w:rPr>
          <w:sz w:val="32"/>
          <w:szCs w:val="32"/>
        </w:rPr>
      </w:r>
      <w:r/>
    </w:p>
    <w:p>
      <w:pPr>
        <w:pStyle w:val="712"/>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0" w:type="auto"/>
        <w:jc w:val="center"/>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712"/>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712"/>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pStyle w:val="712"/>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712"/>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0" w:type="auto"/>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712"/>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712"/>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712"/>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71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71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rPr>
          <w:rFonts w:hint="eastAsia" w:ascii="宋体" w:hAnsi="宋体" w:cs="宋体"/>
          <w:b/>
          <w:sz w:val="28"/>
          <w:szCs w:val="28"/>
          <w:lang w:val="zh-CN"/>
        </w:rPr>
      </w:r>
      <w:r/>
    </w:p>
    <w:p>
      <w:pPr>
        <w:pStyle w:val="712"/>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712"/>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712"/>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中小企业声明函（货物）</w:t>
      </w:r>
      <w:r>
        <w:rPr>
          <w:rFonts w:ascii="Times New Roman" w:hAnsi="Times New Roman"/>
          <w:b/>
          <w:bCs/>
          <w:sz w:val="28"/>
          <w:szCs w:val="28"/>
          <w:lang w:bidi="zh-CN"/>
        </w:rPr>
      </w:r>
      <w:r/>
    </w:p>
    <w:p>
      <w:pPr>
        <w:pStyle w:val="712"/>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sz w:val="28"/>
          <w:szCs w:val="28"/>
          <w:lang w:bidi="zh-CN"/>
        </w:rPr>
      </w:r>
      <w:r/>
    </w:p>
    <w:p>
      <w:pPr>
        <w:pStyle w:val="712"/>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 （标的名称）</w:t>
      </w:r>
      <w:r>
        <w:rPr>
          <w:rFonts w:ascii="Times New Roman" w:hAnsi="Times New Roman"/>
          <w:sz w:val="28"/>
          <w:szCs w:val="28"/>
          <w:lang w:bidi="zh-CN"/>
        </w:rPr>
        <w:t xml:space="preserve"> ，属于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712"/>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i/>
          <w:sz w:val="28"/>
          <w:szCs w:val="28"/>
          <w:u w:val="single"/>
          <w:lang w:bidi="zh-CN"/>
        </w:rPr>
        <w:t xml:space="preserve"> </w:t>
      </w:r>
      <w:r>
        <w:rPr>
          <w:rFonts w:ascii="Times New Roman" w:hAnsi="Times New Roman"/>
          <w:sz w:val="28"/>
          <w:szCs w:val="28"/>
          <w:u w:val="single"/>
          <w:lang w:bidi="zh-CN"/>
        </w:rPr>
        <w:t xml:space="preserve">（标的名称） </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712"/>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712"/>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712"/>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712"/>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712"/>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712"/>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712"/>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712"/>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712"/>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712"/>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日期：</w:t>
      </w:r>
      <w:r>
        <w:rPr>
          <w:rFonts w:hint="eastAsia" w:ascii="Times New Roman" w:hAnsi="Times New Roman"/>
          <w:sz w:val="28"/>
          <w:szCs w:val="28"/>
          <w:lang w:bidi="zh-CN"/>
        </w:rPr>
      </w:r>
      <w:r/>
    </w:p>
    <w:p>
      <w:pPr>
        <w:pStyle w:val="712"/>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pStyle w:val="712"/>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712"/>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712"/>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712"/>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712"/>
        <w:ind w:firstLine="560"/>
        <w:spacing w:line="588" w:lineRule="exact"/>
        <w:rPr>
          <w:rFonts w:hint="eastAsia" w:ascii="宋体" w:hAnsi="宋体"/>
          <w:sz w:val="28"/>
          <w:szCs w:val="28"/>
        </w:rPr>
      </w:pPr>
      <w:r>
        <w:rPr>
          <w:rFonts w:hint="eastAsia" w:ascii="宋体" w:hAnsi="宋体"/>
          <w:sz w:val="28"/>
          <w:szCs w:val="28"/>
        </w:rPr>
      </w:r>
      <w:r/>
    </w:p>
    <w:p>
      <w:pPr>
        <w:pStyle w:val="712"/>
        <w:ind w:firstLine="560"/>
        <w:spacing w:line="588" w:lineRule="exact"/>
        <w:rPr>
          <w:rFonts w:hint="eastAsia" w:ascii="宋体" w:hAnsi="宋体"/>
          <w:sz w:val="28"/>
          <w:szCs w:val="28"/>
        </w:rPr>
      </w:pPr>
      <w:r>
        <w:rPr>
          <w:rFonts w:hint="eastAsia" w:ascii="宋体" w:hAnsi="宋体"/>
          <w:sz w:val="28"/>
          <w:szCs w:val="28"/>
        </w:rPr>
      </w:r>
      <w:r/>
    </w:p>
    <w:p>
      <w:pPr>
        <w:pStyle w:val="712"/>
        <w:ind w:firstLine="560"/>
        <w:spacing w:line="588" w:lineRule="exact"/>
        <w:rPr>
          <w:rFonts w:hint="eastAsia" w:ascii="宋体" w:hAnsi="宋体"/>
          <w:sz w:val="28"/>
          <w:szCs w:val="28"/>
        </w:rPr>
      </w:pPr>
      <w:r>
        <w:rPr>
          <w:rFonts w:hint="eastAsia" w:ascii="宋体" w:hAnsi="宋体"/>
          <w:sz w:val="28"/>
          <w:szCs w:val="28"/>
        </w:rPr>
      </w:r>
      <w:r/>
    </w:p>
    <w:p>
      <w:pPr>
        <w:pStyle w:val="712"/>
        <w:ind w:firstLine="560"/>
        <w:spacing w:line="588" w:lineRule="exact"/>
        <w:rPr>
          <w:rFonts w:hint="eastAsia" w:ascii="宋体" w:hAnsi="宋体"/>
          <w:sz w:val="28"/>
          <w:szCs w:val="28"/>
        </w:rPr>
      </w:pPr>
      <w:r>
        <w:rPr>
          <w:rFonts w:hint="eastAsia" w:ascii="宋体" w:hAnsi="宋体"/>
          <w:sz w:val="28"/>
          <w:szCs w:val="28"/>
        </w:rPr>
      </w:r>
      <w:r/>
    </w:p>
    <w:p>
      <w:pPr>
        <w:pStyle w:val="712"/>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712"/>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712"/>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712"/>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712"/>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712"/>
        <w:spacing w:line="300" w:lineRule="auto"/>
        <w:rPr>
          <w:rFonts w:ascii="Times New Roman" w:hAnsi="Times New Roman" w:eastAsia="方正黑体_GBK"/>
          <w:sz w:val="32"/>
          <w:szCs w:val="32"/>
        </w:rPr>
        <w:outlineLvl w:val="0"/>
      </w:pPr>
      <w:r>
        <w:rPr>
          <w:rFonts w:ascii="Times New Roman" w:hAnsi="Times New Roman"/>
          <w:sz w:val="28"/>
          <w:szCs w:val="28"/>
        </w:rPr>
        <w:br w:type="page" w:clear="all"/>
      </w: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712"/>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712"/>
        <w:ind w:firstLine="495"/>
        <w:spacing w:line="420" w:lineRule="exact"/>
        <w:rPr>
          <w:rFonts w:hint="eastAsia" w:ascii="宋体" w:hAnsi="宋体" w:cs="宋体"/>
          <w:sz w:val="28"/>
          <w:szCs w:val="28"/>
        </w:rPr>
      </w:pPr>
      <w:r>
        <w:rPr>
          <w:rFonts w:hint="eastAsia" w:ascii="宋体" w:hAnsi="宋体" w:cs="宋体"/>
          <w:sz w:val="28"/>
          <w:szCs w:val="28"/>
        </w:rPr>
      </w:r>
      <w:r/>
    </w:p>
    <w:p>
      <w:pPr>
        <w:pStyle w:val="712"/>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712"/>
        <w:ind w:firstLine="495"/>
        <w:spacing w:line="420" w:lineRule="exact"/>
        <w:rPr>
          <w:rFonts w:ascii="宋体" w:hAnsi="宋体" w:cs="宋体"/>
          <w:sz w:val="28"/>
          <w:szCs w:val="28"/>
        </w:rPr>
      </w:pPr>
      <w:r>
        <w:rPr>
          <w:rFonts w:ascii="宋体" w:hAnsi="宋体" w:cs="宋体"/>
          <w:sz w:val="28"/>
          <w:szCs w:val="28"/>
        </w:rPr>
      </w:r>
      <w:r/>
    </w:p>
    <w:p>
      <w:pPr>
        <w:pStyle w:val="712"/>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712"/>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2、中标供应商为监狱企业的，此声明函将随中标结果同时公告，</w:t>
      </w: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712"/>
        <w:rPr>
          <w:rFonts w:ascii="Times New Roman" w:hAnsi="Times New Roman" w:eastAsia="方正黑体_GBK"/>
          <w:bCs/>
          <w:sz w:val="32"/>
          <w:szCs w:val="32"/>
          <w:lang w:bidi="ar"/>
        </w:rPr>
      </w:pPr>
      <w:r>
        <w:rPr>
          <w:rFonts w:ascii="Times New Roman" w:hAnsi="Times New Roman" w:eastAsia="方正黑体_GBK"/>
          <w:bCs/>
          <w:sz w:val="32"/>
          <w:szCs w:val="32"/>
          <w:lang w:bidi="ar"/>
        </w:rPr>
        <w:br w:type="page" w:clear="all"/>
      </w:r>
      <w:r>
        <w:rPr>
          <w:rFonts w:ascii="Times New Roman" w:hAnsi="Times New Roman" w:eastAsia="方正黑体_GBK"/>
          <w:bCs/>
          <w:sz w:val="32"/>
          <w:szCs w:val="32"/>
          <w:lang w:bidi="ar"/>
        </w:rPr>
        <w:t xml:space="preserve">附件12</w:t>
      </w:r>
      <w:r>
        <w:rPr>
          <w:rFonts w:ascii="Times New Roman" w:hAnsi="Times New Roman" w:eastAsia="方正黑体_GBK"/>
          <w:bCs/>
          <w:sz w:val="32"/>
          <w:szCs w:val="32"/>
          <w:lang w:bidi="ar"/>
        </w:rPr>
      </w:r>
      <w:r/>
    </w:p>
    <w:p>
      <w:pPr>
        <w:pStyle w:val="712"/>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712"/>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12"/>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自愿组成联合体，参加海安市公共资源交易中心组织的采购编号为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12"/>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12"/>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712"/>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12"/>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712"/>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712"/>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712"/>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712"/>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712"/>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712"/>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712"/>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712"/>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712"/>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712"/>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附件13</w:t>
      </w:r>
      <w:r>
        <w:rPr>
          <w:rFonts w:ascii="Times New Roman" w:hAnsi="Times New Roman" w:eastAsia="方正黑体_GBK"/>
          <w:sz w:val="32"/>
          <w:szCs w:val="32"/>
        </w:rPr>
      </w:r>
      <w:r/>
    </w:p>
    <w:p>
      <w:pPr>
        <w:pStyle w:val="712"/>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12"/>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12"/>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12"/>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12"/>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12"/>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12"/>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12"/>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1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1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1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1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12"/>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12"/>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712"/>
        <w:spacing w:line="300" w:lineRule="auto"/>
        <w:rPr>
          <w:rFonts w:hint="eastAsia" w:ascii="仿宋_GB2312" w:eastAsia="仿宋_GB2312"/>
          <w:b/>
          <w:sz w:val="32"/>
          <w:szCs w:val="32"/>
        </w:rPr>
        <w:outlineLvl w:val="0"/>
      </w:pPr>
      <w:r>
        <w:rPr>
          <w:rFonts w:ascii="仿宋_GB2312" w:eastAsia="仿宋_GB2312"/>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14</w:t>
      </w:r>
      <w:r>
        <w:rPr>
          <w:rFonts w:hint="eastAsia" w:ascii="仿宋_GB2312" w:eastAsia="仿宋_GB2312"/>
          <w:b/>
          <w:sz w:val="32"/>
          <w:szCs w:val="32"/>
        </w:rPr>
      </w:r>
      <w:r/>
    </w:p>
    <w:p>
      <w:pPr>
        <w:pStyle w:val="712"/>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712"/>
        <w:rPr>
          <w:rFonts w:ascii="Times New Roman" w:hAnsi="Times New Roman" w:eastAsia="仿宋_GB2312"/>
          <w:sz w:val="32"/>
        </w:rPr>
      </w:pPr>
      <w:r>
        <w:rPr>
          <w:rFonts w:ascii="Times New Roman" w:hAnsi="Times New Roman" w:eastAsia="仿宋_GB2312"/>
          <w:sz w:val="32"/>
        </w:rPr>
      </w:r>
      <w:r/>
    </w:p>
    <w:p>
      <w:pPr>
        <w:pStyle w:val="712"/>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712"/>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712"/>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712"/>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712"/>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712"/>
        <w:spacing w:line="300" w:lineRule="auto"/>
        <w:rPr>
          <w:rFonts w:ascii="宋体" w:hAnsi="宋体"/>
          <w:bCs/>
          <w:color w:val="000000"/>
          <w:sz w:val="24"/>
          <w:szCs w:val="21"/>
        </w:rPr>
        <w:outlineLvl w:val="0"/>
      </w:pPr>
      <w:r/>
      <w:bookmarkEnd w:id="175"/>
      <w:r/>
      <w:bookmarkEnd w:id="176"/>
      <w:r/>
      <w:bookmarkEnd w:id="182"/>
      <w:r/>
      <w:bookmarkEnd w:id="183"/>
      <w:r/>
      <w:bookmarkEnd w:id="184"/>
      <w:r>
        <w:rPr>
          <w:rFonts w:ascii="宋体" w:hAnsi="宋体"/>
          <w:bCs/>
          <w:color w:val="000000"/>
          <w:sz w:val="24"/>
          <w:szCs w:val="21"/>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1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rPr>
        <w:rStyle w:val="784"/>
      </w:rPr>
      <w:framePr w:wrap="around" w:vAnchor="text" w:hAnchor="margin" w:xAlign="center" w:y="1"/>
    </w:pPr>
    <w:r>
      <w:fldChar w:fldCharType="begin"/>
    </w:r>
    <w:r>
      <w:rPr>
        <w:rStyle w:val="784"/>
      </w:rPr>
      <w:instrText xml:space="preserve">PAGE  </w:instrText>
    </w:r>
    <w:r>
      <w:fldChar w:fldCharType="separate"/>
    </w:r>
    <w:r>
      <w:rPr>
        <w:rStyle w:val="784"/>
      </w:rPr>
      <w:t xml:space="preserve">1</w:t>
    </w:r>
    <w:r>
      <w:fldChar w:fldCharType="end"/>
    </w:r>
    <w:r>
      <w:rPr>
        <w:rStyle w:val="784"/>
      </w:rPr>
    </w:r>
    <w:r/>
  </w:p>
  <w:p>
    <w:pPr>
      <w:pStyle w:val="75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9"/>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7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9"/>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71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0"/>
      <w:isLgl w:val="false"/>
      <w:suff w:val="tab"/>
      <w:lvlText w:val="附录%1."/>
      <w:lvlJc w:val="left"/>
      <w:pPr>
        <w:pStyle w:val="7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1"/>
      <w:isLgl w:val="false"/>
      <w:suff w:val="tab"/>
      <w:lvlText w:val="%1."/>
      <w:lvlJc w:val="left"/>
      <w:pPr>
        <w:pStyle w:val="712"/>
        <w:ind w:left="709" w:hanging="709"/>
        <w:tabs>
          <w:tab w:val="num" w:pos="709" w:leader="none"/>
        </w:tabs>
      </w:pPr>
      <w:rPr>
        <w:rFonts w:hint="eastAsia"/>
      </w:rPr>
    </w:lvl>
    <w:lvl w:ilvl="1">
      <w:start w:val="1"/>
      <w:numFmt w:val="decimal"/>
      <w:isLgl w:val="false"/>
      <w:suff w:val="tab"/>
      <w:lvlText w:val="%1.%2"/>
      <w:lvlJc w:val="left"/>
      <w:pPr>
        <w:pStyle w:val="712"/>
        <w:ind w:left="709" w:hanging="709"/>
        <w:tabs>
          <w:tab w:val="num" w:pos="709" w:leader="none"/>
        </w:tabs>
      </w:pPr>
      <w:rPr>
        <w:rFonts w:hint="eastAsia"/>
      </w:rPr>
    </w:lvl>
    <w:lvl w:ilvl="2">
      <w:start w:val="1"/>
      <w:numFmt w:val="decimal"/>
      <w:isLgl w:val="false"/>
      <w:suff w:val="tab"/>
      <w:lvlText w:val="%1.%2.%3."/>
      <w:lvlJc w:val="left"/>
      <w:pPr>
        <w:pStyle w:val="712"/>
        <w:ind w:left="425" w:hanging="425"/>
        <w:tabs>
          <w:tab w:val="num" w:pos="425" w:leader="none"/>
        </w:tabs>
      </w:pPr>
      <w:rPr>
        <w:rFonts w:hint="eastAsia"/>
      </w:rPr>
    </w:lvl>
    <w:lvl w:ilvl="3">
      <w:start w:val="1"/>
      <w:numFmt w:val="decimal"/>
      <w:isLgl w:val="false"/>
      <w:suff w:val="tab"/>
      <w:lvlText w:val="%1.%2.%3.%4."/>
      <w:lvlJc w:val="left"/>
      <w:pPr>
        <w:pStyle w:val="712"/>
        <w:ind w:left="851" w:hanging="851"/>
        <w:tabs>
          <w:tab w:val="num" w:pos="851" w:leader="none"/>
        </w:tabs>
      </w:pPr>
      <w:rPr>
        <w:rFonts w:hint="eastAsia"/>
      </w:rPr>
    </w:lvl>
    <w:lvl w:ilvl="4">
      <w:start w:val="1"/>
      <w:numFmt w:val="decimal"/>
      <w:isLgl w:val="false"/>
      <w:suff w:val="tab"/>
      <w:lvlText w:val="%1.%2.%3.%4.%5."/>
      <w:lvlJc w:val="left"/>
      <w:pPr>
        <w:pStyle w:val="712"/>
        <w:ind w:left="992" w:hanging="992"/>
        <w:tabs>
          <w:tab w:val="num" w:pos="992" w:leader="none"/>
        </w:tabs>
      </w:pPr>
      <w:rPr>
        <w:rFonts w:hint="eastAsia"/>
      </w:rPr>
    </w:lvl>
    <w:lvl w:ilvl="5">
      <w:start w:val="1"/>
      <w:numFmt w:val="decimal"/>
      <w:isLgl w:val="false"/>
      <w:suff w:val="tab"/>
      <w:lvlText w:val="%1.%2.%3.%4.%5.%6."/>
      <w:lvlJc w:val="left"/>
      <w:pPr>
        <w:pStyle w:val="712"/>
        <w:ind w:left="1134" w:hanging="1134"/>
        <w:tabs>
          <w:tab w:val="num" w:pos="1134" w:leader="none"/>
        </w:tabs>
      </w:pPr>
      <w:rPr>
        <w:rFonts w:hint="eastAsia"/>
      </w:rPr>
    </w:lvl>
    <w:lvl w:ilvl="6">
      <w:start w:val="1"/>
      <w:numFmt w:val="decimal"/>
      <w:isLgl w:val="false"/>
      <w:suff w:val="tab"/>
      <w:lvlText w:val="%1.%2.%3.%4.%5.%6.%7."/>
      <w:lvlJc w:val="left"/>
      <w:pPr>
        <w:pStyle w:val="712"/>
        <w:ind w:left="1276" w:hanging="1276"/>
        <w:tabs>
          <w:tab w:val="num" w:pos="1276" w:leader="none"/>
        </w:tabs>
      </w:pPr>
      <w:rPr>
        <w:rFonts w:hint="eastAsia"/>
      </w:rPr>
    </w:lvl>
    <w:lvl w:ilvl="7">
      <w:start w:val="1"/>
      <w:numFmt w:val="decimal"/>
      <w:isLgl w:val="false"/>
      <w:suff w:val="tab"/>
      <w:lvlText w:val="%1.%2.%3.%4.%5.%6.%7.%8."/>
      <w:lvlJc w:val="left"/>
      <w:pPr>
        <w:pStyle w:val="712"/>
        <w:ind w:left="1418" w:hanging="1418"/>
        <w:tabs>
          <w:tab w:val="num" w:pos="1418" w:leader="none"/>
        </w:tabs>
      </w:pPr>
      <w:rPr>
        <w:rFonts w:hint="eastAsia"/>
      </w:rPr>
    </w:lvl>
    <w:lvl w:ilvl="8">
      <w:start w:val="1"/>
      <w:numFmt w:val="decimal"/>
      <w:isLgl w:val="false"/>
      <w:suff w:val="tab"/>
      <w:lvlText w:val="%1.%2.%3.%4.%5.%6.%7.%8.%9."/>
      <w:lvlJc w:val="left"/>
      <w:pPr>
        <w:pStyle w:val="71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12"/>
        <w:ind w:left="0" w:firstLine="0"/>
      </w:pPr>
      <w:rPr>
        <w:rFonts w:hint="eastAsia"/>
      </w:rPr>
    </w:lvl>
    <w:lvl w:ilvl="1">
      <w:start w:val="1"/>
      <w:numFmt w:val="decimal"/>
      <w:isLgl w:val="false"/>
      <w:suff w:val="nothing"/>
      <w:lvlText w:val="%2、"/>
      <w:lvlJc w:val="left"/>
      <w:pPr>
        <w:pStyle w:val="712"/>
        <w:ind w:left="0" w:firstLine="0"/>
      </w:pPr>
      <w:rPr>
        <w:rFonts w:hint="eastAsia"/>
      </w:rPr>
    </w:lvl>
    <w:lvl w:ilvl="2">
      <w:start w:val="1"/>
      <w:numFmt w:val="decimal"/>
      <w:isLgl w:val="false"/>
      <w:suff w:val="nothing"/>
      <w:lvlText w:val="%2.%3 "/>
      <w:lvlJc w:val="left"/>
      <w:pPr>
        <w:pStyle w:val="712"/>
        <w:ind w:left="0" w:firstLine="0"/>
      </w:pPr>
      <w:rPr>
        <w:rFonts w:hint="eastAsia"/>
      </w:rPr>
    </w:lvl>
    <w:lvl w:ilvl="3">
      <w:start w:val="1"/>
      <w:numFmt w:val="decimal"/>
      <w:isLgl w:val="false"/>
      <w:suff w:val="nothing"/>
      <w:lvlText w:val="%2.%3.%4 "/>
      <w:lvlJc w:val="left"/>
      <w:pPr>
        <w:pStyle w:val="712"/>
        <w:ind w:left="0" w:firstLine="0"/>
      </w:pPr>
      <w:rPr>
        <w:rFonts w:hint="eastAsia"/>
      </w:rPr>
    </w:lvl>
    <w:lvl w:ilvl="4">
      <w:start w:val="1"/>
      <w:numFmt w:val="decimal"/>
      <w:isLgl w:val="false"/>
      <w:suff w:val="nothing"/>
      <w:lvlText w:val="%2.%3.%4.%5 "/>
      <w:lvlJc w:val="left"/>
      <w:pPr>
        <w:pStyle w:val="712"/>
        <w:ind w:left="0" w:firstLine="0"/>
      </w:pPr>
      <w:rPr>
        <w:rFonts w:hint="eastAsia"/>
      </w:rPr>
    </w:lvl>
    <w:lvl w:ilvl="5">
      <w:start w:val="1"/>
      <w:numFmt w:val="decimal"/>
      <w:pStyle w:val="718"/>
      <w:isLgl w:val="false"/>
      <w:suff w:val="nothing"/>
      <w:lvlText w:val=""/>
      <w:lvlJc w:val="left"/>
      <w:pPr>
        <w:pStyle w:val="712"/>
        <w:ind w:left="0" w:firstLine="0"/>
      </w:pPr>
      <w:rPr>
        <w:rFonts w:hint="eastAsia"/>
      </w:rPr>
    </w:lvl>
    <w:lvl w:ilvl="6">
      <w:start w:val="1"/>
      <w:numFmt w:val="decimal"/>
      <w:pStyle w:val="719"/>
      <w:isLgl w:val="false"/>
      <w:suff w:val="nothing"/>
      <w:lvlText w:val=""/>
      <w:lvlJc w:val="left"/>
      <w:pPr>
        <w:pStyle w:val="712"/>
        <w:ind w:left="0" w:firstLine="0"/>
      </w:pPr>
      <w:rPr>
        <w:rFonts w:hint="eastAsia"/>
      </w:rPr>
    </w:lvl>
    <w:lvl w:ilvl="7">
      <w:start w:val="1"/>
      <w:numFmt w:val="decimal"/>
      <w:pStyle w:val="720"/>
      <w:isLgl w:val="false"/>
      <w:suff w:val="nothing"/>
      <w:lvlText w:val=""/>
      <w:lvlJc w:val="left"/>
      <w:pPr>
        <w:pStyle w:val="712"/>
        <w:ind w:left="0" w:firstLine="0"/>
      </w:pPr>
      <w:rPr>
        <w:rFonts w:hint="eastAsia"/>
      </w:rPr>
    </w:lvl>
    <w:lvl w:ilvl="8">
      <w:start w:val="1"/>
      <w:numFmt w:val="decimal"/>
      <w:pStyle w:val="721"/>
      <w:isLgl w:val="false"/>
      <w:suff w:val="nothing"/>
      <w:lvlText w:val=""/>
      <w:lvlJc w:val="left"/>
      <w:pPr>
        <w:pStyle w:val="712"/>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sz w:val="21"/>
      <w:szCs w:val="22"/>
      <w:lang w:val="en-US" w:eastAsia="zh-CN" w:bidi="ar-SA"/>
    </w:rPr>
  </w:style>
  <w:style w:type="paragraph" w:styleId="713">
    <w:name w:val="标题 1"/>
    <w:basedOn w:val="712"/>
    <w:next w:val="712"/>
    <w:link w:val="724"/>
    <w:qFormat/>
    <w:pPr>
      <w:jc w:val="center"/>
      <w:keepNext/>
      <w:outlineLvl w:val="0"/>
    </w:pPr>
    <w:rPr>
      <w:rFonts w:ascii="楷体_GB2312" w:hAnsi="Times New Roman" w:eastAsia="楷体_GB2312"/>
      <w:sz w:val="28"/>
      <w:szCs w:val="28"/>
    </w:rPr>
  </w:style>
  <w:style w:type="paragraph" w:styleId="714">
    <w:name w:val="标题 2"/>
    <w:basedOn w:val="712"/>
    <w:next w:val="726"/>
    <w:link w:val="725"/>
    <w:qFormat/>
    <w:pPr>
      <w:jc w:val="center"/>
      <w:keepLines/>
      <w:keepNext/>
      <w:spacing w:before="260" w:after="260" w:line="416" w:lineRule="auto"/>
      <w:outlineLvl w:val="1"/>
    </w:pPr>
    <w:rPr>
      <w:rFonts w:ascii="Arial" w:hAnsi="Arial" w:eastAsia="幼圆"/>
      <w:b/>
      <w:bCs/>
      <w:sz w:val="44"/>
      <w:szCs w:val="44"/>
    </w:rPr>
  </w:style>
  <w:style w:type="paragraph" w:styleId="715">
    <w:name w:val="标题 3"/>
    <w:basedOn w:val="712"/>
    <w:next w:val="726"/>
    <w:link w:val="728"/>
    <w:qFormat/>
    <w:pPr>
      <w:keepLines/>
      <w:keepNext/>
      <w:spacing w:before="260" w:after="260" w:line="416" w:lineRule="auto"/>
      <w:outlineLvl w:val="2"/>
    </w:pPr>
    <w:rPr>
      <w:rFonts w:ascii="Times New Roman" w:hAnsi="Times New Roman"/>
      <w:b/>
      <w:bCs/>
      <w:sz w:val="32"/>
      <w:szCs w:val="32"/>
    </w:rPr>
  </w:style>
  <w:style w:type="paragraph" w:styleId="716">
    <w:name w:val="标题 4"/>
    <w:basedOn w:val="712"/>
    <w:next w:val="726"/>
    <w:link w:val="729"/>
    <w:qFormat/>
    <w:pPr>
      <w:keepLines/>
      <w:keepNext/>
      <w:spacing w:before="280" w:after="290" w:line="376" w:lineRule="auto"/>
      <w:outlineLvl w:val="3"/>
    </w:pPr>
    <w:rPr>
      <w:rFonts w:ascii="Arial" w:hAnsi="Arial" w:eastAsia="黑体"/>
      <w:b/>
      <w:bCs/>
      <w:sz w:val="28"/>
      <w:szCs w:val="28"/>
    </w:rPr>
  </w:style>
  <w:style w:type="paragraph" w:styleId="717">
    <w:name w:val="标题 5"/>
    <w:basedOn w:val="712"/>
    <w:next w:val="726"/>
    <w:link w:val="730"/>
    <w:qFormat/>
    <w:pPr>
      <w:keepNext/>
      <w:outlineLvl w:val="4"/>
    </w:pPr>
    <w:rPr>
      <w:rFonts w:ascii="宋体" w:hAnsi="Times New Roman"/>
      <w:color w:val="000000"/>
      <w:sz w:val="28"/>
      <w:szCs w:val="28"/>
    </w:rPr>
  </w:style>
  <w:style w:type="paragraph" w:styleId="718">
    <w:name w:val="标题 6"/>
    <w:basedOn w:val="712"/>
    <w:next w:val="712"/>
    <w:link w:val="731"/>
    <w:qFormat/>
    <w:pPr>
      <w:numPr>
        <w:ilvl w:val="5"/>
        <w:numId w:val="1"/>
      </w:numPr>
      <w:keepLines/>
      <w:keepNext/>
      <w:spacing w:before="240" w:after="64" w:line="320" w:lineRule="auto"/>
      <w:outlineLvl w:val="5"/>
    </w:pPr>
    <w:rPr>
      <w:rFonts w:ascii="Arial" w:hAnsi="Arial" w:eastAsia="黑体"/>
      <w:b/>
      <w:bCs/>
      <w:sz w:val="24"/>
      <w:szCs w:val="24"/>
    </w:rPr>
  </w:style>
  <w:style w:type="paragraph" w:styleId="719">
    <w:name w:val="标题 7"/>
    <w:basedOn w:val="712"/>
    <w:next w:val="712"/>
    <w:link w:val="73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20">
    <w:name w:val="标题 8"/>
    <w:basedOn w:val="712"/>
    <w:next w:val="712"/>
    <w:link w:val="733"/>
    <w:qFormat/>
    <w:pPr>
      <w:numPr>
        <w:ilvl w:val="7"/>
        <w:numId w:val="1"/>
      </w:numPr>
      <w:keepLines/>
      <w:keepNext/>
      <w:spacing w:before="240" w:after="64" w:line="320" w:lineRule="auto"/>
      <w:outlineLvl w:val="7"/>
    </w:pPr>
    <w:rPr>
      <w:rFonts w:ascii="Arial" w:hAnsi="Arial" w:eastAsia="黑体"/>
      <w:sz w:val="24"/>
      <w:szCs w:val="24"/>
    </w:rPr>
  </w:style>
  <w:style w:type="paragraph" w:styleId="721">
    <w:name w:val="标题 9"/>
    <w:basedOn w:val="712"/>
    <w:next w:val="712"/>
    <w:link w:val="734"/>
    <w:qFormat/>
    <w:pPr>
      <w:numPr>
        <w:ilvl w:val="8"/>
        <w:numId w:val="1"/>
      </w:numPr>
      <w:keepLines/>
      <w:keepNext/>
      <w:spacing w:before="240" w:after="64" w:line="320" w:lineRule="auto"/>
      <w:outlineLvl w:val="8"/>
    </w:pPr>
    <w:rPr>
      <w:rFonts w:ascii="Arial" w:hAnsi="Arial" w:eastAsia="黑体"/>
      <w:sz w:val="20"/>
      <w:szCs w:val="21"/>
    </w:rPr>
  </w:style>
  <w:style w:type="character" w:styleId="722">
    <w:name w:val="默认段落字体"/>
    <w:next w:val="722"/>
    <w:link w:val="712"/>
    <w:uiPriority w:val="1"/>
    <w:unhideWhenUsed/>
  </w:style>
  <w:style w:type="table" w:styleId="723">
    <w:name w:val="普通表格"/>
    <w:next w:val="723"/>
    <w:link w:val="712"/>
    <w:uiPriority w:val="99"/>
    <w:unhideWhenUsed/>
    <w:tblPr/>
  </w:style>
  <w:style w:type="character" w:styleId="724">
    <w:name w:val="标题 1 Char"/>
    <w:next w:val="724"/>
    <w:link w:val="713"/>
    <w:rPr>
      <w:rFonts w:ascii="楷体_GB2312" w:hAnsi="Times New Roman" w:eastAsia="楷体_GB2312" w:cs="Times New Roman"/>
      <w:sz w:val="28"/>
      <w:szCs w:val="28"/>
    </w:rPr>
  </w:style>
  <w:style w:type="character" w:styleId="725">
    <w:name w:val="标题 2 Char"/>
    <w:next w:val="725"/>
    <w:link w:val="714"/>
    <w:rPr>
      <w:rFonts w:ascii="Arial" w:hAnsi="Arial" w:eastAsia="幼圆" w:cs="Arial"/>
      <w:b/>
      <w:bCs/>
      <w:sz w:val="44"/>
      <w:szCs w:val="44"/>
    </w:rPr>
  </w:style>
  <w:style w:type="paragraph" w:styleId="726">
    <w:name w:val="正文缩进"/>
    <w:basedOn w:val="712"/>
    <w:next w:val="726"/>
    <w:link w:val="727"/>
    <w:pPr>
      <w:ind w:firstLine="420"/>
    </w:pPr>
    <w:rPr>
      <w:sz w:val="20"/>
      <w:szCs w:val="21"/>
    </w:rPr>
  </w:style>
  <w:style w:type="character" w:styleId="727">
    <w:name w:val="正文缩进 Char"/>
    <w:next w:val="727"/>
    <w:link w:val="726"/>
    <w:rPr>
      <w:szCs w:val="21"/>
    </w:rPr>
  </w:style>
  <w:style w:type="character" w:styleId="728">
    <w:name w:val="标题 3 Char"/>
    <w:next w:val="728"/>
    <w:link w:val="715"/>
    <w:rPr>
      <w:rFonts w:ascii="Times New Roman" w:hAnsi="Times New Roman" w:eastAsia="宋体" w:cs="Times New Roman"/>
      <w:b/>
      <w:bCs/>
      <w:sz w:val="32"/>
      <w:szCs w:val="32"/>
    </w:rPr>
  </w:style>
  <w:style w:type="character" w:styleId="729">
    <w:name w:val="标题 4 Char"/>
    <w:next w:val="729"/>
    <w:link w:val="716"/>
    <w:rPr>
      <w:rFonts w:ascii="Arial" w:hAnsi="Arial" w:eastAsia="黑体" w:cs="Arial"/>
      <w:b/>
      <w:bCs/>
      <w:sz w:val="28"/>
      <w:szCs w:val="28"/>
    </w:rPr>
  </w:style>
  <w:style w:type="character" w:styleId="730">
    <w:name w:val="标题 5 Char"/>
    <w:next w:val="730"/>
    <w:link w:val="717"/>
    <w:rPr>
      <w:rFonts w:ascii="宋体" w:hAnsi="Times New Roman" w:eastAsia="宋体" w:cs="Times New Roman"/>
      <w:color w:val="000000"/>
      <w:sz w:val="28"/>
      <w:szCs w:val="28"/>
    </w:rPr>
  </w:style>
  <w:style w:type="character" w:styleId="731">
    <w:name w:val="标题 6 Char"/>
    <w:next w:val="731"/>
    <w:link w:val="718"/>
    <w:rPr>
      <w:rFonts w:ascii="Arial" w:hAnsi="Arial" w:eastAsia="黑体" w:cs="Times New Roman"/>
      <w:b/>
      <w:bCs/>
      <w:sz w:val="24"/>
      <w:szCs w:val="24"/>
    </w:rPr>
  </w:style>
  <w:style w:type="character" w:styleId="732">
    <w:name w:val="标题 7 Char"/>
    <w:next w:val="732"/>
    <w:link w:val="719"/>
    <w:rPr>
      <w:rFonts w:ascii="Times New Roman" w:hAnsi="Times New Roman" w:eastAsia="宋体" w:cs="Times New Roman"/>
      <w:b/>
      <w:bCs/>
      <w:sz w:val="24"/>
      <w:szCs w:val="24"/>
    </w:rPr>
  </w:style>
  <w:style w:type="character" w:styleId="733">
    <w:name w:val="标题 8 Char"/>
    <w:next w:val="733"/>
    <w:link w:val="720"/>
    <w:rPr>
      <w:rFonts w:ascii="Arial" w:hAnsi="Arial" w:eastAsia="黑体" w:cs="Times New Roman"/>
      <w:sz w:val="24"/>
      <w:szCs w:val="24"/>
    </w:rPr>
  </w:style>
  <w:style w:type="character" w:styleId="734">
    <w:name w:val="标题 9 Char"/>
    <w:next w:val="734"/>
    <w:link w:val="721"/>
    <w:rPr>
      <w:rFonts w:ascii="Arial" w:hAnsi="Arial" w:eastAsia="黑体" w:cs="Times New Roman"/>
      <w:szCs w:val="21"/>
    </w:rPr>
  </w:style>
  <w:style w:type="paragraph" w:styleId="735">
    <w:name w:val="列表 3"/>
    <w:basedOn w:val="712"/>
    <w:next w:val="735"/>
    <w:link w:val="712"/>
    <w:pPr>
      <w:ind w:left="100" w:hanging="200"/>
    </w:pPr>
    <w:rPr>
      <w:rFonts w:ascii="Times New Roman" w:hAnsi="Times New Roman" w:eastAsia="宋体" w:cs="Times New Roman"/>
      <w:szCs w:val="21"/>
    </w:rPr>
  </w:style>
  <w:style w:type="paragraph" w:styleId="736">
    <w:name w:val="目录 7"/>
    <w:basedOn w:val="712"/>
    <w:next w:val="712"/>
    <w:link w:val="712"/>
    <w:semiHidden/>
    <w:pPr>
      <w:ind w:left="1260"/>
      <w:jc w:val="left"/>
    </w:pPr>
    <w:rPr>
      <w:rFonts w:ascii="Times New Roman" w:hAnsi="Times New Roman" w:eastAsia="宋体" w:cs="Times New Roman"/>
      <w:szCs w:val="21"/>
    </w:rPr>
  </w:style>
  <w:style w:type="paragraph" w:styleId="737">
    <w:name w:val="文档结构图"/>
    <w:basedOn w:val="712"/>
    <w:next w:val="737"/>
    <w:link w:val="738"/>
    <w:semiHidden/>
    <w:pPr>
      <w:shd w:val="clear" w:color="auto" w:fill="000080"/>
    </w:pPr>
    <w:rPr>
      <w:rFonts w:ascii="Times New Roman" w:hAnsi="Times New Roman"/>
      <w:sz w:val="20"/>
      <w:szCs w:val="21"/>
    </w:rPr>
  </w:style>
  <w:style w:type="character" w:styleId="738">
    <w:name w:val="文档结构图 Char"/>
    <w:next w:val="738"/>
    <w:link w:val="737"/>
    <w:semiHidden/>
    <w:rPr>
      <w:rFonts w:ascii="Times New Roman" w:hAnsi="Times New Roman" w:eastAsia="宋体" w:cs="Times New Roman"/>
      <w:szCs w:val="21"/>
      <w:shd w:val="clear" w:color="auto" w:fill="000080"/>
    </w:rPr>
  </w:style>
  <w:style w:type="paragraph" w:styleId="739">
    <w:name w:val="批注文字"/>
    <w:basedOn w:val="712"/>
    <w:next w:val="739"/>
    <w:link w:val="740"/>
    <w:unhideWhenUsed/>
    <w:pPr>
      <w:jc w:val="left"/>
    </w:pPr>
  </w:style>
  <w:style w:type="character" w:styleId="740">
    <w:name w:val="批注文字 Char"/>
    <w:basedOn w:val="722"/>
    <w:next w:val="740"/>
    <w:link w:val="739"/>
    <w:uiPriority w:val="99"/>
    <w:semiHidden/>
  </w:style>
  <w:style w:type="paragraph" w:styleId="741">
    <w:name w:val="正文文本 3"/>
    <w:basedOn w:val="712"/>
    <w:next w:val="741"/>
    <w:link w:val="742"/>
    <w:rPr>
      <w:rFonts w:ascii="仿宋_GB2312" w:hAnsi="Arial" w:eastAsia="仿宋_GB2312"/>
      <w:sz w:val="32"/>
      <w:szCs w:val="32"/>
    </w:rPr>
  </w:style>
  <w:style w:type="character" w:styleId="742">
    <w:name w:val="正文文本 3 Char"/>
    <w:next w:val="742"/>
    <w:link w:val="741"/>
    <w:rPr>
      <w:rFonts w:ascii="仿宋_GB2312" w:hAnsi="Arial" w:eastAsia="仿宋_GB2312" w:cs="Times New Roman"/>
      <w:sz w:val="32"/>
      <w:szCs w:val="32"/>
    </w:rPr>
  </w:style>
  <w:style w:type="paragraph" w:styleId="743">
    <w:name w:val="正文文本"/>
    <w:basedOn w:val="712"/>
    <w:next w:val="743"/>
    <w:link w:val="744"/>
    <w:rPr>
      <w:rFonts w:ascii="楷体_GB2312" w:hAnsi="Arial" w:eastAsia="楷体_GB2312"/>
      <w:sz w:val="28"/>
      <w:szCs w:val="28"/>
    </w:rPr>
  </w:style>
  <w:style w:type="character" w:styleId="744">
    <w:name w:val="正文文本 Char"/>
    <w:next w:val="744"/>
    <w:link w:val="743"/>
    <w:rPr>
      <w:rFonts w:ascii="楷体_GB2312" w:hAnsi="Arial" w:eastAsia="楷体_GB2312" w:cs="Times New Roman"/>
      <w:sz w:val="28"/>
      <w:szCs w:val="28"/>
    </w:rPr>
  </w:style>
  <w:style w:type="paragraph" w:styleId="745">
    <w:name w:val="正文文本缩进"/>
    <w:basedOn w:val="712"/>
    <w:next w:val="745"/>
    <w:link w:val="746"/>
    <w:unhideWhenUsed/>
    <w:pPr>
      <w:ind w:left="420"/>
      <w:spacing w:after="120"/>
    </w:pPr>
  </w:style>
  <w:style w:type="character" w:styleId="746">
    <w:name w:val="正文文本缩进 Char"/>
    <w:basedOn w:val="722"/>
    <w:next w:val="746"/>
    <w:link w:val="745"/>
    <w:uiPriority w:val="99"/>
    <w:semiHidden/>
  </w:style>
  <w:style w:type="paragraph" w:styleId="747">
    <w:name w:val="列表 2"/>
    <w:basedOn w:val="712"/>
    <w:next w:val="747"/>
    <w:link w:val="712"/>
    <w:pPr>
      <w:ind w:left="100" w:hanging="200"/>
    </w:pPr>
    <w:rPr>
      <w:rFonts w:ascii="Times New Roman" w:hAnsi="Times New Roman" w:eastAsia="宋体" w:cs="Times New Roman"/>
      <w:szCs w:val="21"/>
    </w:rPr>
  </w:style>
  <w:style w:type="paragraph" w:styleId="748">
    <w:name w:val="目录 5"/>
    <w:basedOn w:val="712"/>
    <w:next w:val="712"/>
    <w:link w:val="712"/>
    <w:semiHidden/>
    <w:pPr>
      <w:ind w:left="840"/>
      <w:jc w:val="left"/>
    </w:pPr>
    <w:rPr>
      <w:rFonts w:ascii="Times New Roman" w:hAnsi="Times New Roman" w:eastAsia="宋体" w:cs="Times New Roman"/>
      <w:szCs w:val="21"/>
    </w:rPr>
  </w:style>
  <w:style w:type="paragraph" w:styleId="749">
    <w:name w:val="目录 3"/>
    <w:basedOn w:val="712"/>
    <w:next w:val="712"/>
    <w:link w:val="712"/>
    <w:semiHidden/>
    <w:pPr>
      <w:ind w:left="420"/>
      <w:jc w:val="left"/>
    </w:pPr>
    <w:rPr>
      <w:rFonts w:ascii="Times New Roman" w:hAnsi="Times New Roman" w:eastAsia="宋体" w:cs="Times New Roman"/>
      <w:i/>
      <w:iCs/>
      <w:szCs w:val="24"/>
    </w:rPr>
  </w:style>
  <w:style w:type="paragraph" w:styleId="750">
    <w:name w:val="纯文本"/>
    <w:basedOn w:val="712"/>
    <w:next w:val="750"/>
    <w:link w:val="751"/>
    <w:rPr>
      <w:rFonts w:ascii="宋体" w:hAnsi="Courier New"/>
      <w:sz w:val="20"/>
      <w:szCs w:val="21"/>
    </w:rPr>
  </w:style>
  <w:style w:type="character" w:styleId="751">
    <w:name w:val="纯文本 Char"/>
    <w:next w:val="751"/>
    <w:link w:val="750"/>
    <w:rPr>
      <w:rFonts w:ascii="宋体" w:hAnsi="Courier New" w:eastAsia="宋体" w:cs="Courier New"/>
      <w:szCs w:val="21"/>
    </w:rPr>
  </w:style>
  <w:style w:type="paragraph" w:styleId="752">
    <w:name w:val="目录 8"/>
    <w:basedOn w:val="712"/>
    <w:next w:val="712"/>
    <w:link w:val="712"/>
    <w:semiHidden/>
    <w:pPr>
      <w:ind w:left="1470"/>
      <w:jc w:val="left"/>
    </w:pPr>
    <w:rPr>
      <w:rFonts w:ascii="Times New Roman" w:hAnsi="Times New Roman" w:eastAsia="宋体" w:cs="Times New Roman"/>
      <w:szCs w:val="21"/>
    </w:rPr>
  </w:style>
  <w:style w:type="paragraph" w:styleId="753">
    <w:name w:val="日期"/>
    <w:basedOn w:val="712"/>
    <w:next w:val="712"/>
    <w:link w:val="754"/>
    <w:rPr>
      <w:rFonts w:ascii="Times New Roman" w:hAnsi="Times New Roman"/>
      <w:sz w:val="24"/>
      <w:szCs w:val="24"/>
    </w:rPr>
  </w:style>
  <w:style w:type="character" w:styleId="754">
    <w:name w:val="日期 Char"/>
    <w:next w:val="754"/>
    <w:link w:val="753"/>
    <w:rPr>
      <w:rFonts w:ascii="Times New Roman" w:hAnsi="Times New Roman" w:eastAsia="宋体" w:cs="Times New Roman"/>
      <w:sz w:val="24"/>
      <w:szCs w:val="24"/>
    </w:rPr>
  </w:style>
  <w:style w:type="paragraph" w:styleId="755">
    <w:name w:val="正文文本缩进 2"/>
    <w:basedOn w:val="712"/>
    <w:next w:val="755"/>
    <w:link w:val="756"/>
    <w:pPr>
      <w:ind w:left="630" w:firstLine="645"/>
    </w:pPr>
    <w:rPr>
      <w:rFonts w:ascii="Arial" w:hAnsi="Arial" w:eastAsia="仿宋_GB2312"/>
      <w:sz w:val="32"/>
      <w:szCs w:val="32"/>
    </w:rPr>
  </w:style>
  <w:style w:type="character" w:styleId="756">
    <w:name w:val="正文文本缩进 2 Char"/>
    <w:next w:val="756"/>
    <w:link w:val="755"/>
    <w:rPr>
      <w:rFonts w:ascii="Arial" w:hAnsi="Arial" w:eastAsia="仿宋_GB2312" w:cs="Arial"/>
      <w:sz w:val="32"/>
      <w:szCs w:val="32"/>
    </w:rPr>
  </w:style>
  <w:style w:type="paragraph" w:styleId="757">
    <w:name w:val="批注框文本"/>
    <w:basedOn w:val="712"/>
    <w:next w:val="757"/>
    <w:link w:val="758"/>
    <w:semiHidden/>
    <w:rPr>
      <w:rFonts w:ascii="Times New Roman" w:hAnsi="Times New Roman"/>
      <w:sz w:val="18"/>
      <w:szCs w:val="18"/>
    </w:rPr>
  </w:style>
  <w:style w:type="character" w:styleId="758">
    <w:name w:val="批注框文本 Char"/>
    <w:next w:val="758"/>
    <w:link w:val="757"/>
    <w:semiHidden/>
    <w:rPr>
      <w:rFonts w:ascii="Times New Roman" w:hAnsi="Times New Roman" w:eastAsia="宋体" w:cs="Times New Roman"/>
      <w:sz w:val="18"/>
      <w:szCs w:val="18"/>
    </w:rPr>
  </w:style>
  <w:style w:type="paragraph" w:styleId="759">
    <w:name w:val="页脚"/>
    <w:basedOn w:val="712"/>
    <w:next w:val="759"/>
    <w:link w:val="760"/>
    <w:pPr>
      <w:jc w:val="left"/>
      <w:tabs>
        <w:tab w:val="center" w:pos="4153" w:leader="none"/>
        <w:tab w:val="right" w:pos="8306" w:leader="none"/>
      </w:tabs>
    </w:pPr>
    <w:rPr>
      <w:rFonts w:ascii="Times New Roman" w:hAnsi="Times New Roman"/>
      <w:sz w:val="18"/>
      <w:szCs w:val="18"/>
    </w:rPr>
  </w:style>
  <w:style w:type="character" w:styleId="760">
    <w:name w:val="页脚 Char"/>
    <w:next w:val="760"/>
    <w:link w:val="759"/>
    <w:rPr>
      <w:rFonts w:ascii="Times New Roman" w:hAnsi="Times New Roman" w:eastAsia="宋体" w:cs="Times New Roman"/>
      <w:sz w:val="18"/>
      <w:szCs w:val="18"/>
    </w:rPr>
  </w:style>
  <w:style w:type="paragraph" w:styleId="761">
    <w:name w:val="页眉"/>
    <w:basedOn w:val="712"/>
    <w:next w:val="761"/>
    <w:link w:val="76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62">
    <w:name w:val="页眉 Char"/>
    <w:next w:val="762"/>
    <w:link w:val="761"/>
    <w:rPr>
      <w:rFonts w:ascii="Times New Roman" w:hAnsi="Times New Roman" w:eastAsia="宋体" w:cs="Times New Roman"/>
      <w:sz w:val="18"/>
      <w:szCs w:val="18"/>
    </w:rPr>
  </w:style>
  <w:style w:type="paragraph" w:styleId="763">
    <w:name w:val="目录 1"/>
    <w:basedOn w:val="712"/>
    <w:next w:val="712"/>
    <w:link w:val="71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64">
    <w:name w:val="目录 4"/>
    <w:basedOn w:val="712"/>
    <w:next w:val="712"/>
    <w:link w:val="712"/>
    <w:semiHidden/>
    <w:pPr>
      <w:ind w:left="630"/>
      <w:jc w:val="left"/>
    </w:pPr>
    <w:rPr>
      <w:rFonts w:ascii="Times New Roman" w:hAnsi="Times New Roman" w:eastAsia="宋体" w:cs="Times New Roman"/>
      <w:szCs w:val="21"/>
    </w:rPr>
  </w:style>
  <w:style w:type="paragraph" w:styleId="765">
    <w:name w:val="列表"/>
    <w:basedOn w:val="712"/>
    <w:next w:val="765"/>
    <w:link w:val="712"/>
    <w:pPr>
      <w:ind w:left="200" w:hanging="200"/>
    </w:pPr>
    <w:rPr>
      <w:rFonts w:ascii="Times New Roman" w:hAnsi="Times New Roman" w:eastAsia="宋体" w:cs="Times New Roman"/>
      <w:szCs w:val="21"/>
    </w:rPr>
  </w:style>
  <w:style w:type="paragraph" w:styleId="766">
    <w:name w:val="目录 6"/>
    <w:basedOn w:val="712"/>
    <w:next w:val="712"/>
    <w:link w:val="712"/>
    <w:semiHidden/>
    <w:pPr>
      <w:ind w:left="1050"/>
      <w:jc w:val="left"/>
    </w:pPr>
    <w:rPr>
      <w:rFonts w:ascii="Times New Roman" w:hAnsi="Times New Roman" w:eastAsia="宋体" w:cs="Times New Roman"/>
      <w:szCs w:val="21"/>
    </w:rPr>
  </w:style>
  <w:style w:type="paragraph" w:styleId="767">
    <w:name w:val="正文文本缩进 3"/>
    <w:basedOn w:val="712"/>
    <w:next w:val="767"/>
    <w:link w:val="768"/>
    <w:pPr>
      <w:ind w:left="645" w:firstLine="645"/>
    </w:pPr>
    <w:rPr>
      <w:rFonts w:ascii="Arial" w:hAnsi="Arial" w:eastAsia="仿宋_GB2312"/>
      <w:color w:val="ffff00"/>
      <w:sz w:val="32"/>
      <w:szCs w:val="32"/>
    </w:rPr>
  </w:style>
  <w:style w:type="character" w:styleId="768">
    <w:name w:val="正文文本缩进 3 Char"/>
    <w:next w:val="768"/>
    <w:link w:val="767"/>
    <w:rPr>
      <w:rFonts w:ascii="Arial" w:hAnsi="Arial" w:eastAsia="仿宋_GB2312" w:cs="Arial"/>
      <w:color w:val="ffff00"/>
      <w:sz w:val="32"/>
      <w:szCs w:val="32"/>
    </w:rPr>
  </w:style>
  <w:style w:type="paragraph" w:styleId="769">
    <w:name w:val="图表目录"/>
    <w:basedOn w:val="712"/>
    <w:next w:val="712"/>
    <w:link w:val="712"/>
    <w:semiHidden/>
    <w:pPr>
      <w:ind w:left="840" w:hanging="420"/>
    </w:pPr>
    <w:rPr>
      <w:rFonts w:ascii="Times New Roman" w:hAnsi="Times New Roman" w:eastAsia="宋体" w:cs="Times New Roman"/>
      <w:szCs w:val="21"/>
    </w:rPr>
  </w:style>
  <w:style w:type="paragraph" w:styleId="770">
    <w:name w:val="目录 2"/>
    <w:basedOn w:val="712"/>
    <w:next w:val="712"/>
    <w:link w:val="712"/>
    <w:semiHidden/>
    <w:pPr>
      <w:ind w:left="210"/>
      <w:jc w:val="left"/>
    </w:pPr>
    <w:rPr>
      <w:rFonts w:ascii="Times New Roman" w:hAnsi="Times New Roman" w:eastAsia="宋体" w:cs="Times New Roman"/>
      <w:smallCaps/>
      <w:szCs w:val="24"/>
    </w:rPr>
  </w:style>
  <w:style w:type="paragraph" w:styleId="771">
    <w:name w:val="目录 9"/>
    <w:basedOn w:val="712"/>
    <w:next w:val="712"/>
    <w:link w:val="712"/>
    <w:semiHidden/>
    <w:pPr>
      <w:ind w:left="1680"/>
      <w:jc w:val="left"/>
    </w:pPr>
    <w:rPr>
      <w:rFonts w:ascii="Times New Roman" w:hAnsi="Times New Roman" w:eastAsia="宋体" w:cs="Times New Roman"/>
      <w:szCs w:val="21"/>
    </w:rPr>
  </w:style>
  <w:style w:type="paragraph" w:styleId="772">
    <w:name w:val="正文文本 2"/>
    <w:basedOn w:val="712"/>
    <w:next w:val="772"/>
    <w:link w:val="773"/>
    <w:pPr>
      <w:jc w:val="center"/>
      <w:widowControl/>
    </w:pPr>
    <w:rPr>
      <w:rFonts w:ascii="楷体_GB2312" w:hAnsi="Times New Roman" w:eastAsia="楷体_GB2312"/>
      <w:sz w:val="28"/>
      <w:szCs w:val="28"/>
    </w:rPr>
  </w:style>
  <w:style w:type="character" w:styleId="773">
    <w:name w:val="正文文本 2 Char"/>
    <w:next w:val="773"/>
    <w:link w:val="772"/>
    <w:rPr>
      <w:rFonts w:ascii="楷体_GB2312" w:hAnsi="Times New Roman" w:eastAsia="楷体_GB2312" w:cs="Times New Roman"/>
      <w:sz w:val="28"/>
      <w:szCs w:val="28"/>
    </w:rPr>
  </w:style>
  <w:style w:type="paragraph" w:styleId="774">
    <w:name w:val="普通(网站)"/>
    <w:basedOn w:val="712"/>
    <w:next w:val="774"/>
    <w:link w:val="712"/>
    <w:uiPriority w:val="99"/>
    <w:pPr>
      <w:jc w:val="left"/>
      <w:spacing w:before="100" w:beforeAutospacing="1" w:after="100" w:afterAutospacing="1"/>
      <w:widowControl/>
    </w:pPr>
    <w:rPr>
      <w:rFonts w:ascii="宋体" w:hAnsi="宋体" w:eastAsia="宋体" w:cs="宋体"/>
      <w:sz w:val="24"/>
      <w:szCs w:val="24"/>
    </w:rPr>
  </w:style>
  <w:style w:type="paragraph" w:styleId="775">
    <w:name w:val="索引 1"/>
    <w:basedOn w:val="712"/>
    <w:next w:val="712"/>
    <w:link w:val="712"/>
    <w:semiHidden/>
    <w:pPr>
      <w:spacing w:line="240" w:lineRule="atLeast"/>
    </w:pPr>
    <w:rPr>
      <w:rFonts w:ascii="Times New Roman" w:hAnsi="Times New Roman" w:eastAsia="宋体" w:cs="Times New Roman"/>
      <w:b/>
      <w:bCs/>
      <w:szCs w:val="21"/>
    </w:rPr>
  </w:style>
  <w:style w:type="paragraph" w:styleId="776">
    <w:name w:val="批注主题"/>
    <w:basedOn w:val="739"/>
    <w:next w:val="739"/>
    <w:link w:val="777"/>
    <w:semiHidden/>
    <w:rPr>
      <w:rFonts w:ascii="Times New Roman" w:hAnsi="Times New Roman"/>
      <w:b/>
      <w:bCs/>
      <w:sz w:val="20"/>
      <w:szCs w:val="21"/>
    </w:rPr>
  </w:style>
  <w:style w:type="character" w:styleId="777">
    <w:name w:val="批注主题 Char"/>
    <w:next w:val="777"/>
    <w:link w:val="776"/>
    <w:semiHidden/>
    <w:rPr>
      <w:rFonts w:ascii="Times New Roman" w:hAnsi="Times New Roman" w:eastAsia="宋体" w:cs="Times New Roman"/>
      <w:b/>
      <w:bCs/>
      <w:szCs w:val="21"/>
    </w:rPr>
  </w:style>
  <w:style w:type="paragraph" w:styleId="778">
    <w:name w:val="正文首行缩进"/>
    <w:basedOn w:val="712"/>
    <w:next w:val="778"/>
    <w:link w:val="779"/>
    <w:pPr>
      <w:ind w:firstLine="200"/>
      <w:spacing w:line="360" w:lineRule="auto"/>
    </w:pPr>
    <w:rPr>
      <w:rFonts w:ascii="仿宋_GB2312" w:hAnsi="Times New Roman" w:eastAsia="仿宋_GB2312"/>
      <w:sz w:val="30"/>
      <w:szCs w:val="30"/>
    </w:rPr>
  </w:style>
  <w:style w:type="character" w:styleId="779">
    <w:name w:val="正文首行缩进 Char"/>
    <w:next w:val="779"/>
    <w:link w:val="778"/>
    <w:rPr>
      <w:rFonts w:ascii="仿宋_GB2312" w:hAnsi="Times New Roman" w:eastAsia="仿宋_GB2312" w:cs="Times New Roman"/>
      <w:sz w:val="30"/>
      <w:szCs w:val="30"/>
    </w:rPr>
  </w:style>
  <w:style w:type="paragraph" w:styleId="780">
    <w:name w:val="正文首行缩进 2"/>
    <w:basedOn w:val="745"/>
    <w:next w:val="780"/>
    <w:link w:val="781"/>
    <w:pPr>
      <w:ind w:left="0" w:firstLine="420"/>
      <w:spacing w:after="0" w:line="360" w:lineRule="auto"/>
    </w:pPr>
    <w:rPr>
      <w:rFonts w:ascii="宋体" w:hAnsi="宋体"/>
      <w:sz w:val="20"/>
      <w:szCs w:val="20"/>
    </w:rPr>
  </w:style>
  <w:style w:type="character" w:styleId="781">
    <w:name w:val="正文首行缩进 2 Char"/>
    <w:next w:val="781"/>
    <w:link w:val="780"/>
    <w:rPr>
      <w:rFonts w:ascii="宋体" w:hAnsi="宋体" w:eastAsia="宋体" w:cs="Times New Roman"/>
      <w:szCs w:val="20"/>
    </w:rPr>
  </w:style>
  <w:style w:type="table" w:styleId="782">
    <w:name w:val="网格型"/>
    <w:basedOn w:val="723"/>
    <w:next w:val="782"/>
    <w:link w:val="712"/>
    <w:pPr>
      <w:jc w:val="both"/>
      <w:widowControl w:val="off"/>
    </w:pPr>
    <w:rPr>
      <w:rFonts w:ascii="Times New Roman" w:hAnsi="Times New Roman" w:eastAsia="宋体" w:cs="Times New Roman"/>
      <w:sz w:val="20"/>
      <w:szCs w:val="20"/>
    </w:rPr>
    <w:tblPr/>
  </w:style>
  <w:style w:type="character" w:styleId="783">
    <w:name w:val="要点"/>
    <w:next w:val="783"/>
    <w:link w:val="712"/>
    <w:qFormat/>
    <w:rPr>
      <w:b/>
      <w:bCs/>
    </w:rPr>
  </w:style>
  <w:style w:type="character" w:styleId="784">
    <w:name w:val="页码"/>
    <w:next w:val="784"/>
    <w:link w:val="712"/>
  </w:style>
  <w:style w:type="character" w:styleId="785">
    <w:name w:val="已访问的超链接"/>
    <w:next w:val="785"/>
    <w:link w:val="712"/>
    <w:rPr>
      <w:color w:val="800080"/>
      <w:u w:val="single"/>
    </w:rPr>
  </w:style>
  <w:style w:type="character" w:styleId="786">
    <w:name w:val="超链接"/>
    <w:next w:val="786"/>
    <w:link w:val="712"/>
    <w:rPr>
      <w:color w:val="0000ff"/>
      <w:u w:val="single"/>
    </w:rPr>
  </w:style>
  <w:style w:type="character" w:styleId="787">
    <w:name w:val="批注引用"/>
    <w:next w:val="787"/>
    <w:link w:val="712"/>
    <w:semiHidden/>
    <w:rPr>
      <w:sz w:val="21"/>
      <w:szCs w:val="21"/>
    </w:rPr>
  </w:style>
  <w:style w:type="character" w:styleId="788">
    <w:name w:val="font5 Char"/>
    <w:next w:val="788"/>
    <w:link w:val="712"/>
    <w:rPr>
      <w:rFonts w:ascii="宋体" w:hAnsi="宋体" w:eastAsia="宋体"/>
      <w:sz w:val="28"/>
      <w:szCs w:val="28"/>
      <w:lang w:val="en-US" w:eastAsia="zh-CN" w:bidi="ar-SA"/>
    </w:rPr>
  </w:style>
  <w:style w:type="character" w:styleId="789">
    <w:name w:val="二级目录 Char"/>
    <w:next w:val="789"/>
    <w:link w:val="790"/>
    <w:rPr>
      <w:b/>
      <w:sz w:val="30"/>
      <w:szCs w:val="28"/>
      <w:lang w:val="en-US" w:eastAsia="zh-CN" w:bidi="ar-SA"/>
    </w:rPr>
  </w:style>
  <w:style w:type="paragraph" w:styleId="790">
    <w:name w:val="二级目录"/>
    <w:next w:val="712"/>
    <w:link w:val="789"/>
    <w:pPr>
      <w:numPr>
        <w:ilvl w:val="0"/>
        <w:numId w:val="2"/>
      </w:numPr>
      <w:tabs>
        <w:tab w:val="left" w:pos="907" w:leader="none"/>
        <w:tab w:val="left" w:pos="1145" w:leader="none"/>
      </w:tabs>
      <w:outlineLvl w:val="1"/>
    </w:pPr>
    <w:rPr>
      <w:b/>
      <w:sz w:val="30"/>
      <w:szCs w:val="28"/>
      <w:lang w:val="en-US" w:eastAsia="zh-CN" w:bidi="ar-SA"/>
    </w:rPr>
  </w:style>
  <w:style w:type="character" w:styleId="791">
    <w:name w:val="列出段落 Char,Bullet List Char,numbered Char,FooterText Char,List Paragraph1 Char,Paragraphe de liste1 Char"/>
    <w:next w:val="791"/>
    <w:link w:val="792"/>
    <w:rPr>
      <w:rFonts w:ascii="Calibri" w:hAnsi="Calibri"/>
      <w:sz w:val="24"/>
      <w:szCs w:val="24"/>
      <w:lang w:eastAsia="en-US" w:bidi="en-US"/>
    </w:rPr>
  </w:style>
  <w:style w:type="paragraph" w:styleId="792">
    <w:name w:val="列出段落1"/>
    <w:basedOn w:val="712"/>
    <w:next w:val="792"/>
    <w:link w:val="791"/>
    <w:qFormat/>
    <w:pPr>
      <w:contextualSpacing/>
      <w:ind w:left="720"/>
      <w:jc w:val="left"/>
      <w:widowControl/>
    </w:pPr>
    <w:rPr>
      <w:sz w:val="24"/>
      <w:szCs w:val="24"/>
      <w:lang w:eastAsia="en-US" w:bidi="en-US"/>
    </w:rPr>
  </w:style>
  <w:style w:type="paragraph" w:styleId="793">
    <w:name w:val="Char"/>
    <w:basedOn w:val="712"/>
    <w:next w:val="793"/>
    <w:link w:val="712"/>
    <w:pPr>
      <w:ind w:firstLine="200"/>
      <w:tabs>
        <w:tab w:val="left" w:pos="360" w:leader="none"/>
      </w:tabs>
    </w:pPr>
    <w:rPr>
      <w:rFonts w:ascii="Times New Roman" w:hAnsi="Times New Roman" w:eastAsia="宋体" w:cs="Times New Roman"/>
      <w:sz w:val="28"/>
      <w:szCs w:val="30"/>
    </w:rPr>
  </w:style>
  <w:style w:type="paragraph" w:styleId="794">
    <w:name w:val="xl26"/>
    <w:basedOn w:val="712"/>
    <w:next w:val="79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5">
    <w:name w:val="标题1"/>
    <w:basedOn w:val="712"/>
    <w:next w:val="712"/>
    <w:link w:val="71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6">
    <w:name w:val="xl27"/>
    <w:basedOn w:val="712"/>
    <w:next w:val="796"/>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font5"/>
    <w:basedOn w:val="712"/>
    <w:next w:val="797"/>
    <w:link w:val="712"/>
    <w:pPr>
      <w:jc w:val="left"/>
      <w:spacing w:before="100" w:beforeAutospacing="1" w:after="100" w:afterAutospacing="1"/>
      <w:widowControl/>
    </w:pPr>
    <w:rPr>
      <w:rFonts w:hint="eastAsia" w:ascii="宋体" w:hAnsi="宋体" w:eastAsia="宋体" w:cs="Times New Roman"/>
      <w:sz w:val="28"/>
      <w:szCs w:val="28"/>
    </w:rPr>
  </w:style>
  <w:style w:type="paragraph" w:styleId="798">
    <w:name w:val=" Char"/>
    <w:basedOn w:val="737"/>
    <w:next w:val="798"/>
    <w:link w:val="712"/>
    <w:rPr>
      <w:rFonts w:ascii="Tahoma" w:hAnsi="Tahoma"/>
      <w:sz w:val="24"/>
      <w:szCs w:val="24"/>
    </w:rPr>
  </w:style>
  <w:style w:type="paragraph" w:styleId="799">
    <w:name w:val="Body Text(ch)"/>
    <w:basedOn w:val="712"/>
    <w:next w:val="743"/>
    <w:link w:val="712"/>
    <w:pPr>
      <w:spacing w:after="120"/>
    </w:pPr>
    <w:rPr>
      <w:rFonts w:ascii="宋体" w:hAnsi="Arial" w:eastAsia="宋体" w:cs="Times New Roman"/>
      <w:bCs/>
      <w:iCs/>
      <w:szCs w:val="24"/>
    </w:rPr>
  </w:style>
  <w:style w:type="paragraph" w:styleId="800">
    <w:name w:val=" Char Char Char Char"/>
    <w:basedOn w:val="737"/>
    <w:next w:val="800"/>
    <w:link w:val="712"/>
    <w:pPr>
      <w:spacing w:line="360" w:lineRule="auto"/>
    </w:pPr>
    <w:rPr>
      <w:rFonts w:ascii="Tahoma" w:hAnsi="Tahoma"/>
      <w:sz w:val="24"/>
      <w:szCs w:val="24"/>
    </w:rPr>
  </w:style>
  <w:style w:type="paragraph" w:styleId="801">
    <w:name w:val="列出段落"/>
    <w:basedOn w:val="712"/>
    <w:next w:val="801"/>
    <w:link w:val="712"/>
    <w:qFormat/>
    <w:pPr>
      <w:contextualSpacing/>
      <w:ind w:left="720"/>
      <w:jc w:val="left"/>
      <w:widowControl/>
    </w:pPr>
    <w:rPr>
      <w:rFonts w:ascii="Calibri" w:hAnsi="Calibri" w:eastAsia="宋体" w:cs="Times New Roman"/>
      <w:sz w:val="24"/>
      <w:szCs w:val="24"/>
      <w:lang w:eastAsia="en-US" w:bidi="en-US"/>
    </w:rPr>
  </w:style>
  <w:style w:type="paragraph" w:styleId="802">
    <w:name w:val="4"/>
    <w:basedOn w:val="712"/>
    <w:next w:val="767"/>
    <w:link w:val="712"/>
    <w:pPr>
      <w:ind w:firstLine="420"/>
      <w:spacing w:line="360" w:lineRule="auto"/>
    </w:pPr>
    <w:rPr>
      <w:rFonts w:ascii="Times New Roman" w:hAnsi="Times New Roman" w:eastAsia="宋体" w:cs="Times New Roman"/>
      <w:color w:val="ff0000"/>
      <w:sz w:val="24"/>
      <w:szCs w:val="24"/>
    </w:rPr>
  </w:style>
  <w:style w:type="paragraph" w:styleId="803">
    <w:name w:val="table_1stline"/>
    <w:basedOn w:val="712"/>
    <w:next w:val="803"/>
    <w:link w:val="712"/>
    <w:pPr>
      <w:jc w:val="left"/>
      <w:spacing w:before="120"/>
      <w:widowControl/>
    </w:pPr>
    <w:rPr>
      <w:rFonts w:ascii="Times New Roman" w:hAnsi="Times New Roman" w:eastAsia="宋体" w:cs="Times New Roman"/>
      <w:bCs/>
      <w:sz w:val="20"/>
      <w:szCs w:val="20"/>
      <w:lang w:val="de-DE" w:eastAsia="de-DE"/>
    </w:rPr>
  </w:style>
  <w:style w:type="paragraph" w:styleId="804">
    <w:name w:val="table_lines"/>
    <w:basedOn w:val="712"/>
    <w:next w:val="804"/>
    <w:link w:val="712"/>
    <w:pPr>
      <w:jc w:val="left"/>
      <w:widowControl/>
    </w:pPr>
    <w:rPr>
      <w:rFonts w:ascii="Times New Roman" w:hAnsi="Times New Roman" w:eastAsia="宋体" w:cs="Times New Roman"/>
      <w:sz w:val="20"/>
      <w:szCs w:val="20"/>
      <w:lang w:val="de-DE" w:eastAsia="de-DE"/>
    </w:rPr>
  </w:style>
  <w:style w:type="paragraph" w:styleId="805">
    <w:name w:val=" Char Char Char Char Char Char Char Char"/>
    <w:basedOn w:val="712"/>
    <w:next w:val="805"/>
    <w:link w:val="712"/>
    <w:pPr>
      <w:jc w:val="left"/>
      <w:spacing w:after="160" w:line="240" w:lineRule="exact"/>
      <w:widowControl/>
    </w:pPr>
    <w:rPr>
      <w:rFonts w:ascii="Verdana" w:hAnsi="Verdana" w:eastAsia="宋体" w:cs="Times New Roman"/>
      <w:sz w:val="20"/>
      <w:szCs w:val="20"/>
      <w:lang w:eastAsia="en-US"/>
    </w:rPr>
  </w:style>
  <w:style w:type="paragraph" w:styleId="806">
    <w:name w:val="附录1"/>
    <w:next w:val="806"/>
    <w:link w:val="7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7">
    <w:name w:val="普通正文"/>
    <w:basedOn w:val="712"/>
    <w:next w:val="807"/>
    <w:link w:val="712"/>
    <w:pPr>
      <w:ind w:firstLine="480"/>
      <w:jc w:val="left"/>
      <w:spacing w:before="120" w:after="120" w:line="360" w:lineRule="auto"/>
    </w:pPr>
    <w:rPr>
      <w:rFonts w:ascii="Arial" w:hAnsi="Arial" w:eastAsia="宋体" w:cs="Times New Roman"/>
      <w:sz w:val="24"/>
      <w:szCs w:val="24"/>
    </w:rPr>
  </w:style>
  <w:style w:type="paragraph" w:styleId="808">
    <w:name w:val="普通 (Web)"/>
    <w:basedOn w:val="712"/>
    <w:next w:val="808"/>
    <w:link w:val="712"/>
    <w:pPr>
      <w:jc w:val="left"/>
      <w:spacing w:before="100" w:beforeAutospacing="1" w:after="100" w:afterAutospacing="1"/>
      <w:widowControl/>
    </w:pPr>
    <w:rPr>
      <w:rFonts w:ascii="宋体" w:hAnsi="宋体" w:eastAsia="宋体" w:cs="Times New Roman"/>
      <w:sz w:val="24"/>
      <w:szCs w:val="24"/>
    </w:rPr>
  </w:style>
  <w:style w:type="paragraph" w:styleId="809">
    <w:name w:val="font7"/>
    <w:basedOn w:val="712"/>
    <w:next w:val="809"/>
    <w:link w:val="712"/>
    <w:pPr>
      <w:jc w:val="left"/>
      <w:spacing w:before="100" w:beforeAutospacing="1" w:after="100" w:afterAutospacing="1"/>
      <w:widowControl/>
    </w:pPr>
    <w:rPr>
      <w:rFonts w:hint="eastAsia" w:ascii="宋体" w:hAnsi="宋体" w:eastAsia="宋体" w:cs="Times New Roman"/>
      <w:sz w:val="18"/>
      <w:szCs w:val="18"/>
    </w:rPr>
  </w:style>
  <w:style w:type="paragraph" w:styleId="810">
    <w:name w:val=" Char Char Char Char Char Char Char Char Char Char"/>
    <w:basedOn w:val="712"/>
    <w:next w:val="810"/>
    <w:link w:val="712"/>
    <w:pPr>
      <w:spacing w:line="360" w:lineRule="auto"/>
    </w:pPr>
    <w:rPr>
      <w:rFonts w:ascii="Times New Roman" w:hAnsi="Times New Roman" w:eastAsia="宋体" w:cs="Times New Roman"/>
      <w:sz w:val="24"/>
      <w:szCs w:val="20"/>
    </w:rPr>
  </w:style>
  <w:style w:type="paragraph" w:styleId="811">
    <w:name w:val="样式1"/>
    <w:basedOn w:val="712"/>
    <w:next w:val="811"/>
    <w:link w:val="712"/>
    <w:pPr>
      <w:numPr>
        <w:ilvl w:val="0"/>
        <w:numId w:val="3"/>
      </w:numPr>
      <w:tabs>
        <w:tab w:val="left" w:pos="709" w:leader="none"/>
      </w:tabs>
    </w:pPr>
    <w:rPr>
      <w:rFonts w:ascii="宋体" w:hAnsi="宋体" w:eastAsia="宋体" w:cs="Times New Roman"/>
      <w:szCs w:val="21"/>
    </w:rPr>
  </w:style>
  <w:style w:type="paragraph" w:styleId="812">
    <w:name w:val="font6"/>
    <w:basedOn w:val="712"/>
    <w:next w:val="812"/>
    <w:link w:val="712"/>
    <w:pPr>
      <w:jc w:val="left"/>
      <w:spacing w:before="100" w:beforeAutospacing="1" w:after="100" w:afterAutospacing="1"/>
      <w:widowControl/>
    </w:pPr>
    <w:rPr>
      <w:rFonts w:hint="eastAsia" w:ascii="宋体" w:hAnsi="宋体" w:eastAsia="宋体" w:cs="Times New Roman"/>
      <w:sz w:val="28"/>
      <w:szCs w:val="28"/>
      <w:u w:val="single"/>
    </w:rPr>
  </w:style>
  <w:style w:type="paragraph" w:styleId="813">
    <w:name w:val="xl25"/>
    <w:basedOn w:val="712"/>
    <w:next w:val="813"/>
    <w:link w:val="7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4">
    <w:name w:val="图标"/>
    <w:basedOn w:val="712"/>
    <w:next w:val="712"/>
    <w:link w:val="71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15">
    <w:name w:val="标题3"/>
    <w:basedOn w:val="712"/>
    <w:next w:val="712"/>
    <w:link w:val="712"/>
    <w:pPr>
      <w:ind w:firstLine="624"/>
      <w:spacing w:line="590" w:lineRule="atLeast"/>
    </w:pPr>
    <w:rPr>
      <w:rFonts w:ascii="方正黑体_GBK" w:hAnsi="Times New Roman" w:eastAsia="方正黑体_GBK" w:cs="Times New Roman"/>
      <w:sz w:val="32"/>
      <w:szCs w:val="32"/>
    </w:rPr>
  </w:style>
  <w:style w:type="paragraph" w:styleId="816">
    <w:name w:val="xl24"/>
    <w:basedOn w:val="712"/>
    <w:next w:val="816"/>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7">
    <w:name w:val="xl29"/>
    <w:basedOn w:val="712"/>
    <w:next w:val="817"/>
    <w:link w:val="71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8">
    <w:name w:val="Char Char Char Char Char Char Char Char"/>
    <w:basedOn w:val="712"/>
    <w:next w:val="818"/>
    <w:link w:val="712"/>
    <w:pPr>
      <w:jc w:val="left"/>
      <w:spacing w:after="160" w:line="240" w:lineRule="exact"/>
      <w:widowControl/>
    </w:pPr>
    <w:rPr>
      <w:rFonts w:ascii="Verdana" w:hAnsi="Verdana" w:eastAsia="宋体" w:cs="Times New Roman"/>
      <w:sz w:val="20"/>
      <w:szCs w:val="20"/>
      <w:lang w:eastAsia="en-US"/>
    </w:rPr>
  </w:style>
  <w:style w:type="paragraph" w:styleId="819">
    <w:name w:val="xl28"/>
    <w:basedOn w:val="712"/>
    <w:next w:val="819"/>
    <w:link w:val="7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0">
    <w:name w:val="xl30"/>
    <w:basedOn w:val="712"/>
    <w:next w:val="820"/>
    <w:link w:val="712"/>
    <w:pPr>
      <w:jc w:val="center"/>
      <w:spacing w:before="100" w:beforeAutospacing="1" w:after="100" w:afterAutospacing="1"/>
      <w:widowControl/>
    </w:pPr>
    <w:rPr>
      <w:rFonts w:ascii="宋体" w:hAnsi="宋体" w:eastAsia="宋体" w:cs="Times New Roman"/>
      <w:b/>
      <w:bCs/>
      <w:sz w:val="36"/>
      <w:szCs w:val="36"/>
    </w:rPr>
  </w:style>
  <w:style w:type="paragraph" w:styleId="821">
    <w:name w:val="Char Char Char Char"/>
    <w:basedOn w:val="737"/>
    <w:next w:val="821"/>
    <w:link w:val="712"/>
    <w:pPr>
      <w:spacing w:line="360" w:lineRule="auto"/>
    </w:pPr>
    <w:rPr>
      <w:rFonts w:ascii="Tahoma" w:hAnsi="Tahoma"/>
      <w:sz w:val="24"/>
      <w:szCs w:val="24"/>
    </w:rPr>
  </w:style>
  <w:style w:type="paragraph" w:styleId="822">
    <w:name w:val="修订"/>
    <w:next w:val="822"/>
    <w:link w:val="712"/>
    <w:uiPriority w:val="99"/>
    <w:semiHidden/>
    <w:rPr>
      <w:rFonts w:ascii="Times New Roman" w:hAnsi="Times New Roman"/>
      <w:sz w:val="21"/>
      <w:szCs w:val="21"/>
      <w:lang w:val="en-US" w:eastAsia="zh-CN" w:bidi="ar-SA"/>
    </w:rPr>
  </w:style>
  <w:style w:type="paragraph" w:styleId="823">
    <w:name w:val="无间隔"/>
    <w:next w:val="823"/>
    <w:link w:val="712"/>
    <w:uiPriority w:val="99"/>
    <w:qFormat/>
    <w:pPr>
      <w:jc w:val="both"/>
      <w:widowControl w:val="off"/>
    </w:pPr>
    <w:rPr>
      <w:rFonts w:ascii="Times New Roman" w:hAnsi="Times New Roman"/>
      <w:sz w:val="21"/>
      <w:szCs w:val="21"/>
      <w:lang w:val="en-US" w:eastAsia="zh-CN" w:bidi="ar-SA"/>
    </w:rPr>
  </w:style>
  <w:style w:type="character" w:styleId="27497" w:default="1">
    <w:name w:val="Default Paragraph Font"/>
    <w:uiPriority w:val="1"/>
    <w:semiHidden/>
    <w:unhideWhenUsed/>
  </w:style>
  <w:style w:type="numbering" w:styleId="27498" w:default="1">
    <w:name w:val="No List"/>
    <w:uiPriority w:val="99"/>
    <w:semiHidden/>
    <w:unhideWhenUsed/>
  </w:style>
  <w:style w:type="table" w:styleId="274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丰静</cp:lastModifiedBy>
  <cp:revision>2</cp:revision>
  <dcterms:created xsi:type="dcterms:W3CDTF">2023-03-16T02:13:00Z</dcterms:created>
  <dcterms:modified xsi:type="dcterms:W3CDTF">2025-11-26T01:50:56Z</dcterms:modified>
</cp:coreProperties>
</file>